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sz w:val="24"/>
        </w:rPr>
      </w:pPr>
      <w:bookmarkStart w:id="37" w:name="_GoBack"/>
      <w:bookmarkEnd w:id="37"/>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ind w:firstLine="640"/>
        <w:jc w:val="center"/>
        <w:rPr>
          <w:rFonts w:hint="eastAsia" w:eastAsia="宋体"/>
          <w:sz w:val="32"/>
          <w:szCs w:val="32"/>
          <w:lang w:eastAsia="zh-CN"/>
        </w:rPr>
      </w:pPr>
      <w:r>
        <w:rPr>
          <w:rFonts w:hint="eastAsia"/>
          <w:b/>
          <w:sz w:val="52"/>
          <w:szCs w:val="40"/>
          <w:lang w:eastAsia="zh-CN"/>
        </w:rPr>
        <w:t>肥城金塔酒精化工设备有限公司</w:t>
      </w:r>
    </w:p>
    <w:p>
      <w:pPr>
        <w:ind w:firstLine="480"/>
        <w:jc w:val="center"/>
        <w:rPr>
          <w:rFonts w:eastAsia="PMingLiU"/>
          <w:sz w:val="24"/>
          <w:szCs w:val="32"/>
        </w:rPr>
      </w:pPr>
    </w:p>
    <w:p>
      <w:pPr>
        <w:spacing w:line="360" w:lineRule="auto"/>
        <w:ind w:firstLine="1762" w:firstLineChars="400"/>
        <w:rPr>
          <w:rFonts w:hint="eastAsia" w:eastAsia="宋体"/>
          <w:sz w:val="24"/>
          <w:lang w:eastAsia="zh-CN"/>
        </w:rPr>
      </w:pPr>
      <w:r>
        <w:rPr>
          <w:rFonts w:eastAsia="PMingLiU"/>
          <w:b/>
          <w:sz w:val="44"/>
          <w:szCs w:val="52"/>
        </w:rPr>
        <w:t>2018</w:t>
      </w:r>
      <w:r>
        <w:rPr>
          <w:b/>
          <w:sz w:val="44"/>
          <w:szCs w:val="52"/>
        </w:rPr>
        <w:t>年度温室气体</w:t>
      </w:r>
      <w:r>
        <w:rPr>
          <w:rFonts w:hint="eastAsia"/>
          <w:b/>
          <w:sz w:val="44"/>
          <w:szCs w:val="52"/>
          <w:lang w:eastAsia="zh-CN"/>
        </w:rPr>
        <w:t>自查报告</w:t>
      </w:r>
    </w:p>
    <w:p>
      <w:pPr>
        <w:spacing w:line="360" w:lineRule="auto"/>
        <w:rPr>
          <w:sz w:val="24"/>
        </w:rPr>
      </w:pPr>
    </w:p>
    <w:p>
      <w:pPr>
        <w:spacing w:line="360" w:lineRule="auto"/>
        <w:rPr>
          <w:sz w:val="24"/>
        </w:rPr>
      </w:pPr>
    </w:p>
    <w:p>
      <w:pPr>
        <w:spacing w:line="360" w:lineRule="auto"/>
        <w:rPr>
          <w:sz w:val="24"/>
        </w:rPr>
      </w:pPr>
    </w:p>
    <w:p>
      <w:pPr>
        <w:autoSpaceDE w:val="0"/>
        <w:autoSpaceDN w:val="0"/>
        <w:spacing w:beforeLines="50" w:afterLines="50" w:line="360" w:lineRule="auto"/>
        <w:ind w:firstLine="1800" w:firstLineChars="600"/>
        <w:jc w:val="both"/>
        <w:rPr>
          <w:rFonts w:hint="eastAsia" w:eastAsia="黑体"/>
          <w:color w:val="000000"/>
          <w:kern w:val="0"/>
          <w:sz w:val="30"/>
          <w:szCs w:val="30"/>
          <w:lang w:eastAsia="zh-CN"/>
        </w:rPr>
      </w:pPr>
      <w:r>
        <w:rPr>
          <w:rFonts w:eastAsia="黑体"/>
          <w:color w:val="000000"/>
          <w:kern w:val="0"/>
          <w:sz w:val="30"/>
          <w:szCs w:val="30"/>
        </w:rPr>
        <w:t>盘查组长：</w:t>
      </w:r>
      <w:r>
        <w:rPr>
          <w:rFonts w:hint="eastAsia" w:eastAsia="黑体"/>
          <w:color w:val="000000"/>
          <w:kern w:val="0"/>
          <w:sz w:val="30"/>
          <w:szCs w:val="30"/>
          <w:lang w:eastAsia="zh-CN"/>
        </w:rPr>
        <w:t>李伟</w:t>
      </w:r>
    </w:p>
    <w:p>
      <w:pPr>
        <w:autoSpaceDE w:val="0"/>
        <w:autoSpaceDN w:val="0"/>
        <w:spacing w:beforeLines="50" w:afterLines="50" w:line="360" w:lineRule="auto"/>
        <w:ind w:firstLine="1800" w:firstLineChars="600"/>
        <w:jc w:val="both"/>
        <w:rPr>
          <w:rFonts w:hint="eastAsia" w:eastAsia="黑体"/>
          <w:color w:val="000000"/>
          <w:kern w:val="0"/>
          <w:sz w:val="30"/>
          <w:szCs w:val="30"/>
          <w:lang w:eastAsia="zh-CN"/>
        </w:rPr>
      </w:pPr>
      <w:r>
        <w:rPr>
          <w:rFonts w:eastAsia="黑体"/>
          <w:color w:val="000000"/>
          <w:kern w:val="0"/>
          <w:sz w:val="30"/>
          <w:szCs w:val="30"/>
        </w:rPr>
        <w:t xml:space="preserve">盘查组员： </w:t>
      </w:r>
      <w:r>
        <w:rPr>
          <w:rFonts w:hint="eastAsia" w:eastAsia="黑体"/>
          <w:color w:val="000000"/>
          <w:kern w:val="0"/>
          <w:sz w:val="30"/>
          <w:szCs w:val="30"/>
          <w:lang w:eastAsia="zh-CN"/>
        </w:rPr>
        <w:t>李大兵、尹衍刚</w:t>
      </w:r>
    </w:p>
    <w:p>
      <w:pPr>
        <w:autoSpaceDE w:val="0"/>
        <w:autoSpaceDN w:val="0"/>
        <w:spacing w:beforeLines="50" w:afterLines="50" w:line="360" w:lineRule="auto"/>
        <w:ind w:firstLine="1800" w:firstLineChars="600"/>
        <w:jc w:val="both"/>
        <w:rPr>
          <w:rFonts w:hint="eastAsia" w:eastAsia="黑体"/>
          <w:sz w:val="24"/>
          <w:lang w:eastAsia="zh-CN"/>
        </w:rPr>
      </w:pPr>
      <w:r>
        <w:rPr>
          <w:rFonts w:eastAsia="黑体"/>
          <w:color w:val="000000"/>
          <w:kern w:val="0"/>
          <w:sz w:val="30"/>
          <w:szCs w:val="30"/>
        </w:rPr>
        <w:t xml:space="preserve">质量校核： </w:t>
      </w:r>
      <w:r>
        <w:rPr>
          <w:rFonts w:hint="eastAsia" w:eastAsia="黑体"/>
          <w:color w:val="000000"/>
          <w:kern w:val="0"/>
          <w:sz w:val="30"/>
          <w:szCs w:val="30"/>
          <w:lang w:eastAsia="zh-CN"/>
        </w:rPr>
        <w:t>张铭涛</w:t>
      </w:r>
    </w:p>
    <w:p>
      <w:pPr>
        <w:spacing w:line="360" w:lineRule="auto"/>
        <w:rPr>
          <w:sz w:val="24"/>
        </w:rPr>
      </w:pPr>
    </w:p>
    <w:p>
      <w:pPr>
        <w:tabs>
          <w:tab w:val="left" w:pos="2750"/>
        </w:tabs>
        <w:spacing w:line="360" w:lineRule="auto"/>
        <w:ind w:firstLine="1807" w:firstLineChars="500"/>
        <w:rPr>
          <w:b/>
          <w:sz w:val="36"/>
          <w:szCs w:val="36"/>
        </w:rPr>
      </w:pPr>
      <w:r>
        <w:rPr>
          <w:rFonts w:hint="eastAsia"/>
          <w:b/>
          <w:sz w:val="36"/>
          <w:szCs w:val="36"/>
          <w:lang w:eastAsia="zh-CN"/>
        </w:rPr>
        <w:t>肥城金塔酒精化工设备有限公司</w:t>
      </w:r>
      <w:r>
        <w:rPr>
          <w:rFonts w:hint="eastAsia"/>
          <w:b/>
          <w:sz w:val="36"/>
          <w:szCs w:val="36"/>
        </w:rPr>
        <w:t>（盖章）</w:t>
      </w:r>
    </w:p>
    <w:p>
      <w:pPr>
        <w:jc w:val="center"/>
        <w:rPr>
          <w:rFonts w:eastAsia="仿宋_GB2312"/>
          <w:sz w:val="36"/>
          <w:szCs w:val="36"/>
        </w:rPr>
      </w:pPr>
      <w:r>
        <w:rPr>
          <w:b/>
          <w:sz w:val="36"/>
          <w:szCs w:val="36"/>
        </w:rPr>
        <w:t>201</w:t>
      </w:r>
      <w:r>
        <w:rPr>
          <w:rFonts w:hint="eastAsia"/>
          <w:b/>
          <w:sz w:val="36"/>
          <w:szCs w:val="36"/>
        </w:rPr>
        <w:t>9</w:t>
      </w:r>
      <w:r>
        <w:rPr>
          <w:b/>
          <w:sz w:val="36"/>
          <w:szCs w:val="36"/>
        </w:rPr>
        <w:t>年1月</w:t>
      </w:r>
    </w:p>
    <w:p>
      <w:pPr>
        <w:rPr>
          <w:sz w:val="28"/>
          <w:szCs w:val="28"/>
        </w:rPr>
        <w:sectPr>
          <w:headerReference r:id="rId3" w:type="default"/>
          <w:pgSz w:w="11906" w:h="16838"/>
          <w:pgMar w:top="1440" w:right="1800" w:bottom="1440" w:left="1800" w:header="851" w:footer="992" w:gutter="0"/>
          <w:cols w:space="425" w:num="1"/>
          <w:docGrid w:type="lines" w:linePitch="312" w:charSpace="0"/>
        </w:sectPr>
      </w:pPr>
    </w:p>
    <w:sdt>
      <w:sdtPr>
        <w:rPr>
          <w:rFonts w:ascii="Times New Roman" w:hAnsi="Times New Roman" w:eastAsia="宋体" w:cs="Times New Roman"/>
          <w:color w:val="auto"/>
          <w:kern w:val="2"/>
          <w:sz w:val="21"/>
          <w:szCs w:val="24"/>
          <w:lang w:val="zh-CN"/>
        </w:rPr>
        <w:id w:val="-1264368298"/>
        <w:docPartObj>
          <w:docPartGallery w:val="Table of Contents"/>
          <w:docPartUnique/>
        </w:docPartObj>
      </w:sdtPr>
      <w:sdtEndPr>
        <w:rPr>
          <w:rFonts w:ascii="Times New Roman" w:hAnsi="Times New Roman" w:eastAsia="宋体" w:cs="Times New Roman"/>
          <w:b/>
          <w:bCs/>
          <w:color w:val="auto"/>
          <w:kern w:val="2"/>
          <w:sz w:val="21"/>
          <w:szCs w:val="24"/>
          <w:lang w:val="zh-CN"/>
        </w:rPr>
      </w:sdtEndPr>
      <w:sdtContent>
        <w:p>
          <w:pPr>
            <w:pStyle w:val="80"/>
            <w:jc w:val="center"/>
            <w:rPr>
              <w:color w:val="auto"/>
            </w:rPr>
          </w:pPr>
          <w:r>
            <w:rPr>
              <w:color w:val="auto"/>
              <w:lang w:val="zh-CN"/>
            </w:rPr>
            <w:t>目录</w:t>
          </w:r>
        </w:p>
        <w:p>
          <w:pPr>
            <w:pStyle w:val="22"/>
            <w:tabs>
              <w:tab w:val="right" w:leader="dot" w:pos="8296"/>
            </w:tabs>
            <w:spacing w:line="440" w:lineRule="exact"/>
            <w:rPr>
              <w:rFonts w:eastAsiaTheme="minorEastAsia" w:cstheme="minorBidi"/>
              <w:b w:val="0"/>
              <w:bCs w:val="0"/>
              <w:caps w:val="0"/>
              <w:sz w:val="21"/>
              <w:szCs w:val="22"/>
            </w:rPr>
          </w:pPr>
          <w:r>
            <w:fldChar w:fldCharType="begin"/>
          </w:r>
          <w:r>
            <w:instrText xml:space="preserve"> TOC \o "1-3" \h \z \u </w:instrText>
          </w:r>
          <w:r>
            <w:fldChar w:fldCharType="separate"/>
          </w:r>
          <w:r>
            <w:fldChar w:fldCharType="begin"/>
          </w:r>
          <w:r>
            <w:instrText xml:space="preserve"> HYPERLINK \l "_Toc512074759" </w:instrText>
          </w:r>
          <w:r>
            <w:fldChar w:fldCharType="separate"/>
          </w:r>
          <w:r>
            <w:rPr>
              <w:rStyle w:val="33"/>
            </w:rPr>
            <w:t>一、概述</w:t>
          </w:r>
          <w:r>
            <w:tab/>
          </w:r>
          <w:r>
            <w:fldChar w:fldCharType="begin"/>
          </w:r>
          <w:r>
            <w:instrText xml:space="preserve"> PAGEREF _Toc512074759 \h </w:instrText>
          </w:r>
          <w:r>
            <w:fldChar w:fldCharType="separate"/>
          </w:r>
          <w:r>
            <w:t>- 1 -</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"_Toc512074760" </w:instrText>
          </w:r>
          <w:r>
            <w:fldChar w:fldCharType="separate"/>
          </w:r>
          <w:r>
            <w:rPr>
              <w:rStyle w:val="33"/>
            </w:rPr>
            <w:t>1.1 盘查目的</w:t>
          </w:r>
          <w:r>
            <w:tab/>
          </w:r>
          <w:r>
            <w:fldChar w:fldCharType="begin"/>
          </w:r>
          <w:r>
            <w:instrText xml:space="preserve"> PAGEREF _Toc512074760 \h </w:instrText>
          </w:r>
          <w:r>
            <w:fldChar w:fldCharType="separate"/>
          </w:r>
          <w:r>
            <w:t>- 1 -</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"_Toc512074761" </w:instrText>
          </w:r>
          <w:r>
            <w:fldChar w:fldCharType="separate"/>
          </w:r>
          <w:r>
            <w:rPr>
              <w:rStyle w:val="33"/>
            </w:rPr>
            <w:t>1.2 盘查范围</w:t>
          </w:r>
          <w:r>
            <w:tab/>
          </w:r>
          <w:r>
            <w:fldChar w:fldCharType="begin"/>
          </w:r>
          <w:r>
            <w:instrText xml:space="preserve"> PAGEREF _Toc512074761 \h </w:instrText>
          </w:r>
          <w:r>
            <w:fldChar w:fldCharType="separate"/>
          </w:r>
          <w:r>
            <w:t>- 1 -</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"_Toc512074762" </w:instrText>
          </w:r>
          <w:r>
            <w:fldChar w:fldCharType="separate"/>
          </w:r>
          <w:r>
            <w:rPr>
              <w:rStyle w:val="33"/>
            </w:rPr>
            <w:t>1.3 盘查准则</w:t>
          </w:r>
          <w:r>
            <w:tab/>
          </w:r>
          <w:r>
            <w:fldChar w:fldCharType="begin"/>
          </w:r>
          <w:r>
            <w:instrText xml:space="preserve"> PAGEREF _Toc512074762 \h </w:instrText>
          </w:r>
          <w:r>
            <w:fldChar w:fldCharType="separate"/>
          </w:r>
          <w:r>
            <w:t>- 2 -</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"_Toc512074763" </w:instrText>
          </w:r>
          <w:r>
            <w:fldChar w:fldCharType="separate"/>
          </w:r>
          <w:r>
            <w:rPr>
              <w:rStyle w:val="33"/>
            </w:rPr>
            <w:t>1.4 盘查部署</w:t>
          </w:r>
          <w:r>
            <w:tab/>
          </w:r>
          <w:r>
            <w:fldChar w:fldCharType="begin"/>
          </w:r>
          <w:r>
            <w:instrText xml:space="preserve"> PAGEREF _Toc512074763 \h </w:instrText>
          </w:r>
          <w:r>
            <w:fldChar w:fldCharType="separate"/>
          </w:r>
          <w:r>
            <w:t>- 2 -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"_Toc512074764" </w:instrText>
          </w:r>
          <w:r>
            <w:fldChar w:fldCharType="separate"/>
          </w:r>
          <w:r>
            <w:rPr>
              <w:rStyle w:val="33"/>
            </w:rPr>
            <w:t>1.4.1 工作流程</w:t>
          </w:r>
          <w:r>
            <w:tab/>
          </w:r>
          <w:r>
            <w:fldChar w:fldCharType="begin"/>
          </w:r>
          <w:r>
            <w:instrText xml:space="preserve"> PAGEREF _Toc512074764 \h </w:instrText>
          </w:r>
          <w:r>
            <w:fldChar w:fldCharType="separate"/>
          </w:r>
          <w:r>
            <w:t>- 3 -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"_Toc512074765" </w:instrText>
          </w:r>
          <w:r>
            <w:fldChar w:fldCharType="separate"/>
          </w:r>
          <w:r>
            <w:rPr>
              <w:rStyle w:val="33"/>
            </w:rPr>
            <w:t>1.4.2 盘查准备</w:t>
          </w:r>
          <w:r>
            <w:tab/>
          </w:r>
          <w:r>
            <w:fldChar w:fldCharType="begin"/>
          </w:r>
          <w:r>
            <w:instrText xml:space="preserve"> PAGEREF _Toc512074765 \h </w:instrText>
          </w:r>
          <w:r>
            <w:fldChar w:fldCharType="separate"/>
          </w:r>
          <w:r>
            <w:t>- 3 -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"_Toc512074766" </w:instrText>
          </w:r>
          <w:r>
            <w:fldChar w:fldCharType="separate"/>
          </w:r>
          <w:r>
            <w:rPr>
              <w:rStyle w:val="33"/>
            </w:rPr>
            <w:t>1.4.3文件评审</w:t>
          </w:r>
          <w:r>
            <w:tab/>
          </w:r>
          <w:r>
            <w:fldChar w:fldCharType="begin"/>
          </w:r>
          <w:r>
            <w:instrText xml:space="preserve"> PAGEREF _Toc512074766 \h </w:instrText>
          </w:r>
          <w:r>
            <w:fldChar w:fldCharType="separate"/>
          </w:r>
          <w:r>
            <w:t>- 4 -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"_Toc512074767" </w:instrText>
          </w:r>
          <w:r>
            <w:fldChar w:fldCharType="separate"/>
          </w:r>
          <w:r>
            <w:rPr>
              <w:rStyle w:val="33"/>
            </w:rPr>
            <w:t>1.4.4现场核查</w:t>
          </w:r>
          <w:r>
            <w:tab/>
          </w:r>
          <w:r>
            <w:fldChar w:fldCharType="begin"/>
          </w:r>
          <w:r>
            <w:instrText xml:space="preserve"> PAGEREF _Toc512074767 \h </w:instrText>
          </w:r>
          <w:r>
            <w:fldChar w:fldCharType="separate"/>
          </w:r>
          <w:r>
            <w:t>- 4 -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"_Toc512074768" </w:instrText>
          </w:r>
          <w:r>
            <w:fldChar w:fldCharType="separate"/>
          </w:r>
          <w:r>
            <w:rPr>
              <w:rStyle w:val="33"/>
            </w:rPr>
            <w:t>1.4.5报告编制及提交</w:t>
          </w:r>
          <w:r>
            <w:tab/>
          </w:r>
          <w:r>
            <w:fldChar w:fldCharType="begin"/>
          </w:r>
          <w:r>
            <w:instrText xml:space="preserve"> PAGEREF _Toc512074768 \h </w:instrText>
          </w:r>
          <w:r>
            <w:fldChar w:fldCharType="separate"/>
          </w:r>
          <w:r>
            <w:t>- 4 -</w:t>
          </w:r>
          <w:r>
            <w:fldChar w:fldCharType="end"/>
          </w:r>
          <w:r>
            <w:fldChar w:fldCharType="end"/>
          </w:r>
        </w:p>
        <w:p>
          <w:pPr>
            <w:pStyle w:val="22"/>
            <w:tabs>
              <w:tab w:val="right" w:leader="dot" w:pos="8296"/>
            </w:tabs>
            <w:spacing w:line="440" w:lineRule="exact"/>
            <w:rPr>
              <w:rFonts w:eastAsiaTheme="minorEastAsia" w:cstheme="minorBidi"/>
              <w:b w:val="0"/>
              <w:bCs w:val="0"/>
              <w:caps w:val="0"/>
              <w:sz w:val="21"/>
              <w:szCs w:val="22"/>
            </w:rPr>
          </w:pPr>
          <w:r>
            <w:fldChar w:fldCharType="begin"/>
          </w:r>
          <w:r>
            <w:instrText xml:space="preserve"> HYPERLINK \l "_Toc512074769" </w:instrText>
          </w:r>
          <w:r>
            <w:fldChar w:fldCharType="separate"/>
          </w:r>
          <w:r>
            <w:rPr>
              <w:rStyle w:val="33"/>
            </w:rPr>
            <w:t>二、盘查发现</w:t>
          </w:r>
          <w:r>
            <w:tab/>
          </w:r>
          <w:r>
            <w:fldChar w:fldCharType="begin"/>
          </w:r>
          <w:r>
            <w:instrText xml:space="preserve"> PAGEREF _Toc512074769 \h </w:instrText>
          </w:r>
          <w:r>
            <w:fldChar w:fldCharType="separate"/>
          </w:r>
          <w:r>
            <w:t>- 5 -</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"_Toc512074770" </w:instrText>
          </w:r>
          <w:r>
            <w:fldChar w:fldCharType="separate"/>
          </w:r>
          <w:r>
            <w:rPr>
              <w:rStyle w:val="33"/>
            </w:rPr>
            <w:t>2.1企业信息</w:t>
          </w:r>
          <w:r>
            <w:tab/>
          </w:r>
          <w:r>
            <w:fldChar w:fldCharType="begin"/>
          </w:r>
          <w:r>
            <w:instrText xml:space="preserve"> PAGEREF _Toc512074770 \h </w:instrText>
          </w:r>
          <w:r>
            <w:fldChar w:fldCharType="separate"/>
          </w:r>
          <w:r>
            <w:t>- 5 -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"_Toc512074771" </w:instrText>
          </w:r>
          <w:r>
            <w:fldChar w:fldCharType="separate"/>
          </w:r>
          <w:r>
            <w:rPr>
              <w:rStyle w:val="33"/>
            </w:rPr>
            <w:t>2.1.1基本信息</w:t>
          </w:r>
          <w:r>
            <w:tab/>
          </w:r>
          <w:r>
            <w:fldChar w:fldCharType="begin"/>
          </w:r>
          <w:r>
            <w:instrText xml:space="preserve"> PAGEREF _Toc512074771 \h </w:instrText>
          </w:r>
          <w:r>
            <w:fldChar w:fldCharType="separate"/>
          </w:r>
          <w:r>
            <w:t>- 5 -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"_Toc512074772" </w:instrText>
          </w:r>
          <w:r>
            <w:fldChar w:fldCharType="separate"/>
          </w:r>
          <w:r>
            <w:rPr>
              <w:rStyle w:val="33"/>
            </w:rPr>
            <w:t>2.1.2企业产品及工艺流程</w:t>
          </w:r>
          <w:r>
            <w:tab/>
          </w:r>
          <w:r>
            <w:fldChar w:fldCharType="begin"/>
          </w:r>
          <w:r>
            <w:instrText xml:space="preserve"> PAGEREF _Toc512074772 \h </w:instrText>
          </w:r>
          <w:r>
            <w:fldChar w:fldCharType="separate"/>
          </w:r>
          <w:r>
            <w:t>- 5 -</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"_Toc512074773" </w:instrText>
          </w:r>
          <w:r>
            <w:fldChar w:fldCharType="separate"/>
          </w:r>
          <w:r>
            <w:rPr>
              <w:rStyle w:val="33"/>
            </w:rPr>
            <w:t>2.2盘查边界</w:t>
          </w:r>
          <w:r>
            <w:tab/>
          </w:r>
          <w:r>
            <w:fldChar w:fldCharType="begin"/>
          </w:r>
          <w:r>
            <w:instrText xml:space="preserve"> PAGEREF _Toc512074773 \h </w:instrText>
          </w:r>
          <w:r>
            <w:fldChar w:fldCharType="separate"/>
          </w:r>
          <w:r>
            <w:t xml:space="preserve">- </w:t>
          </w:r>
          <w:r>
            <w:rPr>
              <w:rFonts w:hint="eastAsia"/>
              <w:lang w:val="en-US" w:eastAsia="zh-CN"/>
            </w:rPr>
            <w:t>10</w:t>
          </w:r>
          <w:r>
            <w:t xml:space="preserve">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"_Toc512074774" </w:instrText>
          </w:r>
          <w:r>
            <w:fldChar w:fldCharType="separate"/>
          </w:r>
          <w:r>
            <w:rPr>
              <w:rStyle w:val="33"/>
            </w:rPr>
            <w:t>2.2.1边界识别</w:t>
          </w:r>
          <w:r>
            <w:tab/>
          </w:r>
          <w:r>
            <w:fldChar w:fldCharType="begin"/>
          </w:r>
          <w:r>
            <w:instrText xml:space="preserve"> PAGEREF _Toc512074774 \h </w:instrText>
          </w:r>
          <w:r>
            <w:fldChar w:fldCharType="separate"/>
          </w:r>
          <w:r>
            <w:t xml:space="preserve">- </w:t>
          </w:r>
          <w:r>
            <w:rPr>
              <w:rFonts w:hint="eastAsia"/>
              <w:lang w:val="en-US" w:eastAsia="zh-CN"/>
            </w:rPr>
            <w:t>10</w:t>
          </w:r>
          <w:r>
            <w:t>-</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"_Toc512074775" </w:instrText>
          </w:r>
          <w:r>
            <w:fldChar w:fldCharType="separate"/>
          </w:r>
          <w:r>
            <w:rPr>
              <w:rStyle w:val="33"/>
            </w:rPr>
            <w:t>2.2.2排放源识别</w:t>
          </w:r>
          <w:r>
            <w:tab/>
          </w:r>
          <w:r>
            <w:fldChar w:fldCharType="begin"/>
          </w:r>
          <w:r>
            <w:instrText xml:space="preserve"> PAGEREF _Toc512074775 \h </w:instrText>
          </w:r>
          <w:r>
            <w:fldChar w:fldCharType="separate"/>
          </w:r>
          <w:r>
            <w:t xml:space="preserve">- </w:t>
          </w:r>
          <w:r>
            <w:rPr>
              <w:rFonts w:hint="eastAsia"/>
              <w:lang w:val="en-US" w:eastAsia="zh-CN"/>
            </w:rPr>
            <w:t>10</w:t>
          </w:r>
          <w:r>
            <w:t xml:space="preserve"> -</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"_Toc512074776" </w:instrText>
          </w:r>
          <w:r>
            <w:fldChar w:fldCharType="separate"/>
          </w:r>
          <w:r>
            <w:rPr>
              <w:rStyle w:val="33"/>
            </w:rPr>
            <w:t>2.3核算方法与活动水平数据</w:t>
          </w:r>
          <w:r>
            <w:tab/>
          </w:r>
          <w:r>
            <w:fldChar w:fldCharType="begin"/>
          </w:r>
          <w:r>
            <w:instrText xml:space="preserve"> PAGEREF _Toc512074776 \h </w:instrText>
          </w:r>
          <w:r>
            <w:fldChar w:fldCharType="separate"/>
          </w:r>
          <w:r>
            <w:t xml:space="preserve">- </w:t>
          </w:r>
          <w:r>
            <w:rPr>
              <w:rFonts w:hint="eastAsia"/>
              <w:lang w:val="en-US" w:eastAsia="zh-CN"/>
            </w:rPr>
            <w:t>10</w:t>
          </w:r>
          <w:r>
            <w:t>-</w:t>
          </w:r>
          <w:r>
            <w:fldChar w:fldCharType="end"/>
          </w:r>
          <w:r>
            <w:fldChar w:fldCharType="end"/>
          </w:r>
        </w:p>
        <w:p>
          <w:pPr>
            <w:pStyle w:val="16"/>
            <w:tabs>
              <w:tab w:val="right" w:leader="dot" w:pos="8296"/>
            </w:tabs>
            <w:spacing w:line="440" w:lineRule="exact"/>
            <w:ind w:left="0" w:leftChars="0" w:firstLine="400" w:firstLineChars="200"/>
            <w:rPr>
              <w:rFonts w:eastAsiaTheme="minorEastAsia" w:cstheme="minorBidi"/>
              <w:i w:val="0"/>
              <w:iCs w:val="0"/>
              <w:sz w:val="21"/>
              <w:szCs w:val="22"/>
            </w:rPr>
          </w:pPr>
          <w:r>
            <w:fldChar w:fldCharType="begin"/>
          </w:r>
          <w:r>
            <w:instrText xml:space="preserve"> HYPERLINK \l "_Toc512074778" </w:instrText>
          </w:r>
          <w:r>
            <w:fldChar w:fldCharType="separate"/>
          </w:r>
          <w:r>
            <w:rPr>
              <w:rStyle w:val="33"/>
            </w:rPr>
            <w:t>2.3.</w:t>
          </w:r>
          <w:r>
            <w:rPr>
              <w:rStyle w:val="33"/>
              <w:rFonts w:hint="eastAsia"/>
              <w:lang w:val="en-US" w:eastAsia="zh-CN"/>
            </w:rPr>
            <w:t>1</w:t>
          </w:r>
          <w:r>
            <w:rPr>
              <w:rStyle w:val="33"/>
            </w:rPr>
            <w:t>净购入电力的CO</w:t>
          </w:r>
          <w:r>
            <w:rPr>
              <w:rStyle w:val="33"/>
              <w:vertAlign w:val="subscript"/>
            </w:rPr>
            <w:t>2</w:t>
          </w:r>
          <w:r>
            <w:rPr>
              <w:rStyle w:val="33"/>
            </w:rPr>
            <w:t>排放</w:t>
          </w:r>
          <w:r>
            <w:tab/>
          </w:r>
          <w:r>
            <w:fldChar w:fldCharType="begin"/>
          </w:r>
          <w:r>
            <w:instrText xml:space="preserve"> PAGEREF _Toc512074778 \h </w:instrText>
          </w:r>
          <w:r>
            <w:fldChar w:fldCharType="separate"/>
          </w:r>
          <w:r>
            <w:t xml:space="preserve">- </w:t>
          </w:r>
          <w:r>
            <w:rPr>
              <w:rFonts w:hint="eastAsia"/>
              <w:lang w:val="en-US" w:eastAsia="zh-CN"/>
            </w:rPr>
            <w:t>10</w:t>
          </w:r>
          <w:r>
            <w:t xml:space="preserve"> -</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"_Toc512074779" </w:instrText>
          </w:r>
          <w:r>
            <w:fldChar w:fldCharType="separate"/>
          </w:r>
          <w:r>
            <w:rPr>
              <w:rStyle w:val="33"/>
            </w:rPr>
            <w:t>2.4排放量核算</w:t>
          </w:r>
          <w:r>
            <w:tab/>
          </w:r>
          <w:r>
            <w:fldChar w:fldCharType="begin"/>
          </w:r>
          <w:r>
            <w:instrText xml:space="preserve"> PAGEREF _Toc512074779 \h </w:instrText>
          </w:r>
          <w:r>
            <w:fldChar w:fldCharType="separate"/>
          </w:r>
          <w:r>
            <w:t xml:space="preserve">- </w:t>
          </w:r>
          <w:r>
            <w:rPr>
              <w:rFonts w:hint="eastAsia"/>
              <w:lang w:val="en-US" w:eastAsia="zh-CN"/>
            </w:rPr>
            <w:t>11</w:t>
          </w:r>
          <w:r>
            <w:t xml:space="preserve">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"_Toc512074780" </w:instrText>
          </w:r>
          <w:r>
            <w:fldChar w:fldCharType="separate"/>
          </w:r>
          <w:r>
            <w:rPr>
              <w:rStyle w:val="33"/>
            </w:rPr>
            <w:t>2.4.1 排放量汇总</w:t>
          </w:r>
          <w:r>
            <w:tab/>
          </w:r>
          <w:r>
            <w:fldChar w:fldCharType="begin"/>
          </w:r>
          <w:r>
            <w:instrText xml:space="preserve"> PAGEREF _Toc512074780 \h </w:instrText>
          </w:r>
          <w:r>
            <w:fldChar w:fldCharType="separate"/>
          </w:r>
          <w:r>
            <w:t xml:space="preserve">- </w:t>
          </w:r>
          <w:r>
            <w:rPr>
              <w:rFonts w:hint="eastAsia"/>
              <w:lang w:val="en-US" w:eastAsia="zh-CN"/>
            </w:rPr>
            <w:t>11</w:t>
          </w:r>
          <w:r>
            <w:t xml:space="preserve"> -</w:t>
          </w:r>
          <w:r>
            <w:fldChar w:fldCharType="end"/>
          </w:r>
          <w:r>
            <w:fldChar w:fldCharType="end"/>
          </w:r>
        </w:p>
        <w:p>
          <w:pPr>
            <w:pStyle w:val="22"/>
            <w:tabs>
              <w:tab w:val="right" w:leader="dot" w:pos="8296"/>
            </w:tabs>
            <w:spacing w:line="440" w:lineRule="exact"/>
            <w:rPr>
              <w:rFonts w:eastAsiaTheme="minorEastAsia" w:cstheme="minorBidi"/>
              <w:b w:val="0"/>
              <w:bCs w:val="0"/>
              <w:caps w:val="0"/>
              <w:sz w:val="21"/>
              <w:szCs w:val="22"/>
            </w:rPr>
          </w:pPr>
          <w:r>
            <w:fldChar w:fldCharType="begin"/>
          </w:r>
          <w:r>
            <w:instrText xml:space="preserve"> HYPERLINK \l "_Toc512074781" </w:instrText>
          </w:r>
          <w:r>
            <w:fldChar w:fldCharType="separate"/>
          </w:r>
          <w:r>
            <w:rPr>
              <w:rStyle w:val="33"/>
            </w:rPr>
            <w:t>三、盘查结论</w:t>
          </w:r>
          <w:r>
            <w:tab/>
          </w:r>
          <w:r>
            <w:fldChar w:fldCharType="begin"/>
          </w:r>
          <w:r>
            <w:instrText xml:space="preserve"> PAGEREF _Toc512074781 \h </w:instrText>
          </w:r>
          <w:r>
            <w:fldChar w:fldCharType="separate"/>
          </w:r>
          <w:r>
            <w:t>- 1</w:t>
          </w:r>
          <w:r>
            <w:rPr>
              <w:rFonts w:hint="eastAsia"/>
              <w:lang w:val="en-US" w:eastAsia="zh-CN"/>
            </w:rPr>
            <w:t>2</w:t>
          </w:r>
          <w:r>
            <w:t xml:space="preserve"> -</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"_Toc512074782" </w:instrText>
          </w:r>
          <w:r>
            <w:fldChar w:fldCharType="separate"/>
          </w:r>
          <w:r>
            <w:rPr>
              <w:rStyle w:val="33"/>
            </w:rPr>
            <w:t>3.1 排放量结果</w:t>
          </w:r>
          <w:r>
            <w:tab/>
          </w:r>
          <w:r>
            <w:fldChar w:fldCharType="begin"/>
          </w:r>
          <w:r>
            <w:instrText xml:space="preserve"> PAGEREF _Toc512074782 \h </w:instrText>
          </w:r>
          <w:r>
            <w:fldChar w:fldCharType="separate"/>
          </w:r>
          <w:r>
            <w:t>- 1</w:t>
          </w:r>
          <w:r>
            <w:rPr>
              <w:rFonts w:hint="eastAsia"/>
              <w:lang w:val="en-US" w:eastAsia="zh-CN"/>
            </w:rPr>
            <w:t>2</w:t>
          </w:r>
          <w:r>
            <w:t>-</w:t>
          </w:r>
          <w:r>
            <w:fldChar w:fldCharType="end"/>
          </w:r>
          <w:r>
            <w:fldChar w:fldCharType="end"/>
          </w:r>
        </w:p>
        <w:p>
          <w:pPr>
            <w:pStyle w:val="26"/>
            <w:spacing w:line="440" w:lineRule="exact"/>
            <w:rPr>
              <w:rFonts w:eastAsiaTheme="minorEastAsia" w:cstheme="minorBidi"/>
              <w:smallCaps w:val="0"/>
              <w:sz w:val="21"/>
              <w:szCs w:val="22"/>
            </w:rPr>
          </w:pPr>
          <w:r>
            <w:fldChar w:fldCharType="begin"/>
          </w:r>
          <w:r>
            <w:instrText xml:space="preserve"> HYPERLINK \l "_Toc512074783" </w:instrText>
          </w:r>
          <w:r>
            <w:fldChar w:fldCharType="separate"/>
          </w:r>
          <w:r>
            <w:rPr>
              <w:rStyle w:val="33"/>
            </w:rPr>
            <w:t>3.2 现状及建议</w:t>
          </w:r>
          <w:r>
            <w:tab/>
          </w:r>
          <w:r>
            <w:fldChar w:fldCharType="begin"/>
          </w:r>
          <w:r>
            <w:instrText xml:space="preserve"> PAGEREF _Toc512074783 \h </w:instrText>
          </w:r>
          <w:r>
            <w:fldChar w:fldCharType="separate"/>
          </w:r>
          <w:r>
            <w:t>- 1</w:t>
          </w:r>
          <w:r>
            <w:rPr>
              <w:rFonts w:hint="eastAsia"/>
              <w:lang w:val="en-US" w:eastAsia="zh-CN"/>
            </w:rPr>
            <w:t>2</w:t>
          </w:r>
          <w:r>
            <w:t xml:space="preserve">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"_Toc512074784" </w:instrText>
          </w:r>
          <w:r>
            <w:fldChar w:fldCharType="separate"/>
          </w:r>
          <w:r>
            <w:rPr>
              <w:rStyle w:val="33"/>
            </w:rPr>
            <w:t>3.2.1现状</w:t>
          </w:r>
          <w:r>
            <w:tab/>
          </w:r>
          <w:r>
            <w:fldChar w:fldCharType="begin"/>
          </w:r>
          <w:r>
            <w:instrText xml:space="preserve"> PAGEREF _Toc512074784 \h </w:instrText>
          </w:r>
          <w:r>
            <w:fldChar w:fldCharType="separate"/>
          </w:r>
          <w:r>
            <w:t>- 1</w:t>
          </w:r>
          <w:r>
            <w:rPr>
              <w:rFonts w:hint="eastAsia"/>
              <w:lang w:val="en-US" w:eastAsia="zh-CN"/>
            </w:rPr>
            <w:t>2</w:t>
          </w:r>
          <w:r>
            <w:t xml:space="preserve"> -</w:t>
          </w:r>
          <w:r>
            <w:fldChar w:fldCharType="end"/>
          </w:r>
          <w:r>
            <w:fldChar w:fldCharType="end"/>
          </w:r>
        </w:p>
        <w:p>
          <w:pPr>
            <w:pStyle w:val="16"/>
            <w:tabs>
              <w:tab w:val="right" w:leader="dot" w:pos="8296"/>
            </w:tabs>
            <w:spacing w:line="440" w:lineRule="exact"/>
            <w:rPr>
              <w:rFonts w:eastAsiaTheme="minorEastAsia" w:cstheme="minorBidi"/>
              <w:i w:val="0"/>
              <w:iCs w:val="0"/>
              <w:sz w:val="21"/>
              <w:szCs w:val="22"/>
            </w:rPr>
          </w:pPr>
          <w:r>
            <w:fldChar w:fldCharType="begin"/>
          </w:r>
          <w:r>
            <w:instrText xml:space="preserve"> HYPERLINK \l "_Toc512074785" </w:instrText>
          </w:r>
          <w:r>
            <w:fldChar w:fldCharType="separate"/>
          </w:r>
          <w:r>
            <w:rPr>
              <w:rStyle w:val="33"/>
            </w:rPr>
            <w:t>3.2.2建议</w:t>
          </w:r>
          <w:r>
            <w:tab/>
          </w:r>
          <w:r>
            <w:fldChar w:fldCharType="begin"/>
          </w:r>
          <w:r>
            <w:instrText xml:space="preserve"> PAGEREF _Toc512074785 \h </w:instrText>
          </w:r>
          <w:r>
            <w:fldChar w:fldCharType="separate"/>
          </w:r>
          <w:r>
            <w:t>- 1</w:t>
          </w:r>
          <w:r>
            <w:rPr>
              <w:rFonts w:hint="eastAsia"/>
              <w:lang w:val="en-US" w:eastAsia="zh-CN"/>
            </w:rPr>
            <w:t>2</w:t>
          </w:r>
          <w:r>
            <w:t xml:space="preserve"> -</w:t>
          </w:r>
          <w:r>
            <w:fldChar w:fldCharType="end"/>
          </w:r>
          <w:r>
            <w:fldChar w:fldCharType="end"/>
          </w:r>
        </w:p>
        <w:p>
          <w:r>
            <w:rPr>
              <w:b/>
              <w:bCs/>
              <w:lang w:val="zh-CN"/>
            </w:rPr>
            <w:fldChar w:fldCharType="end"/>
          </w:r>
        </w:p>
      </w:sdtContent>
    </w:sdt>
    <w:p>
      <w:pPr>
        <w:rPr>
          <w:lang w:val="zh-CN"/>
        </w:rPr>
        <w:sectPr>
          <w:footerReference r:id="rId4" w:type="default"/>
          <w:footerReference r:id="rId5" w:type="even"/>
          <w:pgSz w:w="11906" w:h="16838"/>
          <w:pgMar w:top="1440" w:right="1800" w:bottom="1440" w:left="1800" w:header="851" w:footer="992" w:gutter="0"/>
          <w:pgNumType w:fmt="numberInDash" w:start="1"/>
          <w:cols w:space="425" w:num="1"/>
          <w:docGrid w:type="lines" w:linePitch="312" w:charSpace="0"/>
        </w:sectPr>
      </w:pPr>
    </w:p>
    <w:p>
      <w:pPr>
        <w:pStyle w:val="63"/>
        <w:rPr>
          <w:b w:val="0"/>
        </w:rPr>
      </w:pPr>
      <w:bookmarkStart w:id="0" w:name="_Toc512074759"/>
      <w:r>
        <w:rPr>
          <w:b w:val="0"/>
        </w:rPr>
        <w:t>一、概述</w:t>
      </w:r>
      <w:bookmarkEnd w:id="0"/>
    </w:p>
    <w:p>
      <w:pPr>
        <w:pStyle w:val="60"/>
        <w:spacing w:beforeLines="50" w:line="360" w:lineRule="auto"/>
        <w:rPr>
          <w:b w:val="0"/>
        </w:rPr>
      </w:pPr>
      <w:bookmarkStart w:id="1" w:name="_Toc512074760"/>
      <w:r>
        <w:rPr>
          <w:b w:val="0"/>
        </w:rPr>
        <w:t>1.1 盘查目的</w:t>
      </w:r>
      <w:bookmarkEnd w:id="1"/>
    </w:p>
    <w:p>
      <w:pPr>
        <w:pStyle w:val="45"/>
        <w:spacing w:line="360" w:lineRule="auto"/>
        <w:ind w:firstLine="480"/>
        <w:rPr>
          <w:rFonts w:ascii="Times New Roman"/>
          <w:sz w:val="24"/>
          <w:szCs w:val="24"/>
        </w:rPr>
      </w:pPr>
      <w:r>
        <w:rPr>
          <w:rFonts w:ascii="Times New Roman"/>
          <w:sz w:val="24"/>
          <w:szCs w:val="24"/>
        </w:rPr>
        <w:t>为了贯彻落实《碳排放权交易管理暂行办法》（国家发展改革委第17号令）和国家发展改革委《关于组织开展重点企（事）业单位温室气体排放报告工作的通知》（发改气候〔2014〕63号）、国家发展改革委办公厅《关于切实做好全国碳排放权交易市场启动重点工作的通知》（发改办气候[2016]57号）的文件精神，满足国家碳排放直报工作的需求，并积极应对国家建立统一碳排放权交易市场的新形势，</w:t>
      </w:r>
      <w:r>
        <w:rPr>
          <w:rFonts w:hint="eastAsia" w:ascii="Times New Roman"/>
          <w:sz w:val="24"/>
          <w:szCs w:val="24"/>
        </w:rPr>
        <w:t>我</w:t>
      </w:r>
      <w:r>
        <w:rPr>
          <w:rFonts w:ascii="Times New Roman"/>
          <w:sz w:val="24"/>
          <w:szCs w:val="24"/>
        </w:rPr>
        <w:t>公司全面启动碳盘查工作的有关部署。</w:t>
      </w:r>
    </w:p>
    <w:p>
      <w:pPr>
        <w:pStyle w:val="45"/>
        <w:spacing w:line="360" w:lineRule="auto"/>
        <w:ind w:firstLine="480"/>
        <w:rPr>
          <w:rFonts w:ascii="Times New Roman"/>
          <w:sz w:val="24"/>
          <w:szCs w:val="24"/>
        </w:rPr>
      </w:pPr>
      <w:r>
        <w:rPr>
          <w:rFonts w:ascii="Times New Roman"/>
          <w:sz w:val="24"/>
          <w:szCs w:val="24"/>
        </w:rPr>
        <w:t>碳盘查工作的具体目的包含如下内容：</w:t>
      </w:r>
    </w:p>
    <w:p>
      <w:pPr>
        <w:pStyle w:val="45"/>
        <w:spacing w:line="360" w:lineRule="auto"/>
        <w:ind w:firstLine="480"/>
        <w:rPr>
          <w:rFonts w:ascii="Times New Roman"/>
          <w:sz w:val="24"/>
          <w:szCs w:val="24"/>
        </w:rPr>
      </w:pPr>
      <w:r>
        <w:rPr>
          <w:rFonts w:hint="eastAsia" w:ascii="Times New Roman"/>
          <w:sz w:val="24"/>
          <w:szCs w:val="24"/>
        </w:rPr>
        <w:t>1）</w:t>
      </w:r>
      <w:r>
        <w:rPr>
          <w:rFonts w:ascii="Times New Roman"/>
          <w:sz w:val="24"/>
          <w:szCs w:val="24"/>
        </w:rPr>
        <w:t>识别碳排放源</w:t>
      </w:r>
    </w:p>
    <w:p>
      <w:pPr>
        <w:pStyle w:val="45"/>
        <w:spacing w:line="360" w:lineRule="auto"/>
        <w:ind w:firstLine="480"/>
        <w:rPr>
          <w:rFonts w:ascii="Times New Roman"/>
          <w:sz w:val="24"/>
          <w:szCs w:val="24"/>
        </w:rPr>
      </w:pPr>
      <w:r>
        <w:rPr>
          <w:rFonts w:ascii="Times New Roman"/>
          <w:sz w:val="24"/>
          <w:szCs w:val="24"/>
        </w:rPr>
        <w:t>梳理企业碳排放源，明确排放量核算数据需求，为满足全国碳交易相关要求奠定扎实的基础；</w:t>
      </w:r>
    </w:p>
    <w:p>
      <w:pPr>
        <w:spacing w:line="360" w:lineRule="auto"/>
        <w:ind w:firstLine="480" w:firstLineChars="200"/>
        <w:rPr>
          <w:kern w:val="0"/>
          <w:sz w:val="24"/>
        </w:rPr>
      </w:pPr>
      <w:r>
        <w:rPr>
          <w:rFonts w:hint="eastAsia"/>
          <w:kern w:val="0"/>
          <w:sz w:val="24"/>
        </w:rPr>
        <w:t>2）</w:t>
      </w:r>
      <w:r>
        <w:rPr>
          <w:kern w:val="0"/>
          <w:sz w:val="24"/>
        </w:rPr>
        <w:t>核算温室气体排放量</w:t>
      </w:r>
    </w:p>
    <w:p>
      <w:pPr>
        <w:pStyle w:val="45"/>
        <w:spacing w:line="360" w:lineRule="auto"/>
        <w:ind w:firstLine="480"/>
        <w:rPr>
          <w:rFonts w:ascii="Times New Roman"/>
          <w:sz w:val="24"/>
          <w:szCs w:val="24"/>
        </w:rPr>
      </w:pPr>
      <w:r>
        <w:rPr>
          <w:rFonts w:ascii="Times New Roman"/>
          <w:sz w:val="24"/>
          <w:szCs w:val="24"/>
        </w:rPr>
        <w:t>对记录和存储的数据进行评审，判断数据的正确性，并核算企业的温室气体排放量；</w:t>
      </w:r>
    </w:p>
    <w:p>
      <w:pPr>
        <w:pStyle w:val="45"/>
        <w:spacing w:line="360" w:lineRule="auto"/>
        <w:ind w:firstLine="480"/>
        <w:rPr>
          <w:rFonts w:ascii="Times New Roman"/>
          <w:sz w:val="24"/>
          <w:szCs w:val="24"/>
        </w:rPr>
      </w:pPr>
      <w:r>
        <w:rPr>
          <w:rFonts w:hint="eastAsia" w:ascii="Times New Roman"/>
          <w:sz w:val="24"/>
          <w:szCs w:val="24"/>
        </w:rPr>
        <w:t>3）</w:t>
      </w:r>
      <w:r>
        <w:rPr>
          <w:rFonts w:ascii="Times New Roman"/>
          <w:sz w:val="24"/>
          <w:szCs w:val="24"/>
        </w:rPr>
        <w:t>提供企业碳排放管理建议</w:t>
      </w:r>
    </w:p>
    <w:p>
      <w:pPr>
        <w:pStyle w:val="45"/>
        <w:spacing w:line="360" w:lineRule="auto"/>
        <w:ind w:firstLine="480"/>
        <w:rPr>
          <w:rFonts w:ascii="Times New Roman"/>
          <w:sz w:val="24"/>
          <w:szCs w:val="24"/>
        </w:rPr>
      </w:pPr>
      <w:r>
        <w:rPr>
          <w:rFonts w:ascii="Times New Roman"/>
          <w:sz w:val="24"/>
          <w:szCs w:val="24"/>
        </w:rPr>
        <w:t>为企业在碳排放管理体系建设、设备监测、数据规范可信性和边界变化及设备更新应对等方面提供合理化建议，整体提升企业的碳排放管理能力。此外，对企业节能技改项目进行梳理，挖掘自愿减排项目开发潜力。</w:t>
      </w:r>
    </w:p>
    <w:p>
      <w:pPr>
        <w:pStyle w:val="60"/>
        <w:spacing w:beforeLines="50" w:line="360" w:lineRule="auto"/>
        <w:rPr>
          <w:b w:val="0"/>
        </w:rPr>
      </w:pPr>
      <w:bookmarkStart w:id="2" w:name="_Toc512074761"/>
      <w:r>
        <w:rPr>
          <w:b w:val="0"/>
        </w:rPr>
        <w:t>1.2 盘查范围</w:t>
      </w:r>
      <w:bookmarkEnd w:id="2"/>
    </w:p>
    <w:p>
      <w:pPr>
        <w:spacing w:line="360" w:lineRule="auto"/>
        <w:ind w:firstLine="480" w:firstLineChars="200"/>
        <w:rPr>
          <w:color w:val="000000" w:themeColor="text1"/>
          <w:sz w:val="24"/>
        </w:rPr>
      </w:pPr>
      <w:r>
        <w:rPr>
          <w:color w:val="000000" w:themeColor="text1"/>
          <w:sz w:val="24"/>
        </w:rPr>
        <w:t>根据</w:t>
      </w:r>
      <w:r>
        <w:rPr>
          <w:rFonts w:asciiTheme="minorEastAsia" w:hAnsiTheme="minorEastAsia" w:eastAsiaTheme="minorEastAsia"/>
          <w:color w:val="000000" w:themeColor="text1"/>
          <w:sz w:val="24"/>
        </w:rPr>
        <w:t>《</w:t>
      </w:r>
      <w:r>
        <w:rPr>
          <w:rFonts w:hint="eastAsia" w:asciiTheme="minorEastAsia" w:hAnsiTheme="minorEastAsia" w:eastAsiaTheme="minorEastAsia"/>
          <w:bCs/>
          <w:color w:val="000000"/>
          <w:sz w:val="23"/>
          <w:szCs w:val="23"/>
        </w:rPr>
        <w:t>工业其他行业企业温室气体排放核算方法与报告指南（试行）</w:t>
      </w:r>
      <w:r>
        <w:rPr>
          <w:rFonts w:asciiTheme="minorEastAsia" w:hAnsiTheme="minorEastAsia" w:eastAsiaTheme="minorEastAsia"/>
          <w:color w:val="000000" w:themeColor="text1"/>
          <w:sz w:val="24"/>
        </w:rPr>
        <w:t>》</w:t>
      </w:r>
      <w:r>
        <w:rPr>
          <w:rFonts w:hint="eastAsia"/>
          <w:color w:val="000000" w:themeColor="text1"/>
          <w:sz w:val="24"/>
        </w:rPr>
        <w:t>（以下简称《核算指南》）</w:t>
      </w:r>
      <w:r>
        <w:rPr>
          <w:color w:val="000000" w:themeColor="text1"/>
          <w:sz w:val="24"/>
        </w:rPr>
        <w:t>的要求，本报告以法人单位</w:t>
      </w:r>
      <w:r>
        <w:rPr>
          <w:rFonts w:hint="eastAsia"/>
          <w:sz w:val="24"/>
          <w:lang w:eastAsia="zh-CN"/>
        </w:rPr>
        <w:t>肥城金塔酒精化工设备有限公司</w:t>
      </w:r>
      <w:r>
        <w:rPr>
          <w:color w:val="000000" w:themeColor="text1"/>
          <w:sz w:val="24"/>
        </w:rPr>
        <w:t>为盘查边界，覆盖时间段为2018年</w:t>
      </w:r>
      <w:r>
        <w:rPr>
          <w:rFonts w:hint="eastAsia"/>
          <w:color w:val="000000" w:themeColor="text1"/>
          <w:sz w:val="24"/>
        </w:rPr>
        <w:t>度</w:t>
      </w:r>
      <w:r>
        <w:rPr>
          <w:color w:val="000000" w:themeColor="text1"/>
          <w:sz w:val="24"/>
        </w:rPr>
        <w:t>。</w:t>
      </w:r>
    </w:p>
    <w:p>
      <w:pPr>
        <w:spacing w:line="360" w:lineRule="auto"/>
        <w:ind w:firstLine="480" w:firstLineChars="200"/>
        <w:rPr>
          <w:color w:val="000000" w:themeColor="text1"/>
          <w:sz w:val="24"/>
        </w:rPr>
      </w:pPr>
      <w:r>
        <w:rPr>
          <w:color w:val="000000" w:themeColor="text1"/>
          <w:sz w:val="24"/>
        </w:rPr>
        <w:t>具体范围包括：</w:t>
      </w:r>
    </w:p>
    <w:p>
      <w:pPr>
        <w:spacing w:line="360" w:lineRule="auto"/>
        <w:ind w:firstLine="480" w:firstLineChars="200"/>
        <w:rPr>
          <w:color w:val="000000" w:themeColor="text1"/>
          <w:sz w:val="24"/>
        </w:rPr>
      </w:pPr>
      <w:r>
        <w:rPr>
          <w:color w:val="000000" w:themeColor="text1"/>
          <w:sz w:val="24"/>
        </w:rPr>
        <w:t>1）化石燃料燃烧产生的温室气体排放量；2）企业净购入电力和热力隐含的温室气体排放量。</w:t>
      </w:r>
    </w:p>
    <w:p>
      <w:pPr>
        <w:spacing w:line="360" w:lineRule="auto"/>
        <w:ind w:firstLine="420"/>
        <w:rPr>
          <w:color w:val="000000" w:themeColor="text1"/>
          <w:sz w:val="24"/>
        </w:rPr>
      </w:pPr>
    </w:p>
    <w:p>
      <w:pPr>
        <w:pStyle w:val="60"/>
        <w:spacing w:beforeLines="50" w:line="360" w:lineRule="auto"/>
        <w:rPr>
          <w:b w:val="0"/>
        </w:rPr>
      </w:pPr>
      <w:bookmarkStart w:id="3" w:name="_Toc424499118"/>
      <w:bookmarkStart w:id="4" w:name="_Toc512074762"/>
      <w:r>
        <w:rPr>
          <w:b w:val="0"/>
        </w:rPr>
        <w:t xml:space="preserve">1.3 </w:t>
      </w:r>
      <w:bookmarkEnd w:id="3"/>
      <w:r>
        <w:rPr>
          <w:b w:val="0"/>
        </w:rPr>
        <w:t>盘查准则</w:t>
      </w:r>
      <w:bookmarkEnd w:id="4"/>
    </w:p>
    <w:p>
      <w:pPr>
        <w:pStyle w:val="45"/>
        <w:spacing w:line="360" w:lineRule="auto"/>
        <w:ind w:firstLine="480"/>
        <w:rPr>
          <w:rFonts w:ascii="Times New Roman"/>
          <w:sz w:val="24"/>
          <w:szCs w:val="24"/>
        </w:rPr>
      </w:pPr>
      <w:r>
        <w:rPr>
          <w:rFonts w:ascii="Times New Roman"/>
          <w:sz w:val="24"/>
          <w:szCs w:val="24"/>
        </w:rPr>
        <w:t>本次碳盘查将遵照以下准则：</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1、</w:t>
      </w:r>
      <w:r>
        <w:rPr>
          <w:rFonts w:ascii="Times New Roman"/>
          <w:sz w:val="24"/>
          <w:szCs w:val="24"/>
        </w:rPr>
        <w:t>国家发展和改革委员会令第17号：《碳排放权交易管理暂行办法》</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2、</w:t>
      </w:r>
      <w:r>
        <w:rPr>
          <w:rFonts w:ascii="Times New Roman"/>
          <w:sz w:val="24"/>
          <w:szCs w:val="24"/>
        </w:rPr>
        <w:t>国家发展和改革委员会：《关于组织开展重点企（事）业单位温室气体排放报告工作的通知》（发改气候[2014]63号）</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3、</w:t>
      </w:r>
      <w:r>
        <w:rPr>
          <w:rFonts w:ascii="Times New Roman"/>
          <w:sz w:val="24"/>
          <w:szCs w:val="24"/>
        </w:rPr>
        <w:t>国家发展和改革委员会：关于切实做好全国碳排放权交易市场启动重点工作的通知（发改办气候[2016]57号）</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4、</w:t>
      </w:r>
      <w:r>
        <w:rPr>
          <w:rFonts w:ascii="Times New Roman"/>
          <w:sz w:val="24"/>
          <w:szCs w:val="24"/>
        </w:rPr>
        <w:t>国家发展和改革委员会：</w:t>
      </w:r>
      <w:r>
        <w:rPr>
          <w:rFonts w:hint="eastAsia" w:asciiTheme="minorEastAsia" w:hAnsiTheme="minorEastAsia" w:eastAsiaTheme="minorEastAsia"/>
          <w:sz w:val="24"/>
          <w:szCs w:val="24"/>
        </w:rPr>
        <w:t>《</w:t>
      </w:r>
      <w:r>
        <w:rPr>
          <w:rFonts w:hint="eastAsia" w:asciiTheme="minorEastAsia" w:hAnsiTheme="minorEastAsia" w:eastAsiaTheme="minorEastAsia"/>
          <w:bCs/>
          <w:color w:val="000000"/>
          <w:sz w:val="24"/>
          <w:szCs w:val="24"/>
        </w:rPr>
        <w:t>工业其他行业企业温室气体排放核算方法与报告指南（试行）</w:t>
      </w:r>
      <w:r>
        <w:rPr>
          <w:rFonts w:hint="eastAsia" w:asciiTheme="minorEastAsia" w:hAnsiTheme="minorEastAsia" w:eastAsiaTheme="minorEastAsia"/>
          <w:sz w:val="24"/>
          <w:szCs w:val="24"/>
        </w:rPr>
        <w:t>》</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5、</w:t>
      </w:r>
      <w:r>
        <w:rPr>
          <w:rFonts w:ascii="Times New Roman"/>
          <w:sz w:val="24"/>
          <w:szCs w:val="24"/>
        </w:rPr>
        <w:t>GB/T 213-2008《煤的发热量测定方法》</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6、</w:t>
      </w:r>
      <w:r>
        <w:rPr>
          <w:rFonts w:hint="eastAsia" w:ascii="Times New Roman"/>
          <w:sz w:val="24"/>
          <w:szCs w:val="24"/>
        </w:rPr>
        <w:t xml:space="preserve">《GB/T476 煤中碳和氢的测量方法》 </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7、</w:t>
      </w:r>
      <w:r>
        <w:rPr>
          <w:rFonts w:ascii="Times New Roman"/>
          <w:sz w:val="24"/>
          <w:szCs w:val="24"/>
        </w:rPr>
        <w:t>GB/T 384-1981《石油产品热值测定法》</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8、</w:t>
      </w:r>
      <w:r>
        <w:rPr>
          <w:rFonts w:ascii="Times New Roman"/>
          <w:sz w:val="24"/>
          <w:szCs w:val="24"/>
        </w:rPr>
        <w:t>GB/T 476-2008《煤中碳和氢的测量方法》</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9、</w:t>
      </w:r>
      <w:r>
        <w:rPr>
          <w:rFonts w:ascii="Times New Roman"/>
          <w:sz w:val="24"/>
          <w:szCs w:val="24"/>
        </w:rPr>
        <w:t>GB/T 8984-2008《气体中一氧化碳、二氧化碳和碳氢化合物的测定（气相色谱法）》</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10、</w:t>
      </w:r>
      <w:r>
        <w:rPr>
          <w:rFonts w:ascii="Times New Roman"/>
          <w:sz w:val="24"/>
          <w:szCs w:val="24"/>
        </w:rPr>
        <w:t>GB/T 13610-2003《天然气的组成分析（气相色谱法）》</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11、</w:t>
      </w:r>
      <w:r>
        <w:rPr>
          <w:rFonts w:ascii="Times New Roman"/>
          <w:sz w:val="24"/>
          <w:szCs w:val="24"/>
        </w:rPr>
        <w:t>GB 17167-2006《用能单位能源计量器具配备和管理通则》</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12、</w:t>
      </w:r>
      <w:r>
        <w:rPr>
          <w:rFonts w:ascii="Times New Roman"/>
          <w:sz w:val="24"/>
          <w:szCs w:val="24"/>
        </w:rPr>
        <w:t>GB/T 22723-2008《天然气能量的测定》</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13、</w:t>
      </w:r>
      <w:r>
        <w:rPr>
          <w:rFonts w:hint="eastAsia" w:ascii="Times New Roman"/>
          <w:sz w:val="24"/>
          <w:szCs w:val="24"/>
        </w:rPr>
        <w:t>《GB/T13610 天然气的组成分析（气相色谱法）》</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14、</w:t>
      </w:r>
      <w:r>
        <w:rPr>
          <w:rFonts w:ascii="Times New Roman"/>
          <w:sz w:val="24"/>
          <w:szCs w:val="24"/>
        </w:rPr>
        <w:t>SH/T 0656-1998《石油产品及润滑剂中碳、氢、氮测定法（元素分析仪法）》</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15、</w:t>
      </w:r>
      <w:r>
        <w:rPr>
          <w:rFonts w:hint="eastAsia" w:ascii="Times New Roman"/>
          <w:sz w:val="24"/>
          <w:szCs w:val="24"/>
        </w:rPr>
        <w:t>《GB/T3286.9 石灰石、白云石化学分析方法——二氧化碳量的测定》 《工业企业温室气体排放核算和报告通则》</w:t>
      </w:r>
    </w:p>
    <w:p>
      <w:pPr>
        <w:pStyle w:val="45"/>
        <w:numPr>
          <w:ilvl w:val="0"/>
          <w:numId w:val="0"/>
        </w:numPr>
        <w:spacing w:line="360" w:lineRule="auto"/>
        <w:ind w:left="480" w:leftChars="0"/>
        <w:rPr>
          <w:rFonts w:ascii="Times New Roman"/>
          <w:sz w:val="24"/>
          <w:szCs w:val="24"/>
        </w:rPr>
      </w:pPr>
      <w:r>
        <w:rPr>
          <w:rFonts w:hint="eastAsia" w:ascii="Times New Roman"/>
          <w:sz w:val="24"/>
          <w:szCs w:val="24"/>
          <w:lang w:val="en-US" w:eastAsia="zh-CN"/>
        </w:rPr>
        <w:t>16、</w:t>
      </w:r>
      <w:r>
        <w:rPr>
          <w:rFonts w:hint="eastAsia" w:ascii="Times New Roman"/>
          <w:sz w:val="24"/>
          <w:szCs w:val="24"/>
        </w:rPr>
        <w:t>《GB/T 8984 气体中一氧化碳、二氧化碳和碳氢化合物的测定（气相色谱 法）》</w:t>
      </w:r>
    </w:p>
    <w:p>
      <w:pPr>
        <w:pStyle w:val="60"/>
        <w:spacing w:beforeLines="50" w:line="360" w:lineRule="auto"/>
        <w:rPr>
          <w:b w:val="0"/>
        </w:rPr>
      </w:pPr>
      <w:bookmarkStart w:id="5" w:name="_Toc424499119"/>
      <w:bookmarkStart w:id="6" w:name="_Toc512074763"/>
      <w:r>
        <w:rPr>
          <w:b w:val="0"/>
        </w:rPr>
        <w:t xml:space="preserve">1.4 </w:t>
      </w:r>
      <w:bookmarkEnd w:id="5"/>
      <w:r>
        <w:rPr>
          <w:b w:val="0"/>
        </w:rPr>
        <w:t>盘查部署</w:t>
      </w:r>
      <w:bookmarkEnd w:id="6"/>
    </w:p>
    <w:p>
      <w:pPr>
        <w:pStyle w:val="45"/>
        <w:spacing w:line="360" w:lineRule="auto"/>
        <w:ind w:firstLine="480"/>
        <w:rPr>
          <w:rFonts w:ascii="Times New Roman"/>
          <w:color w:val="000000" w:themeColor="text1"/>
          <w:sz w:val="24"/>
        </w:rPr>
      </w:pPr>
      <w:r>
        <w:rPr>
          <w:rFonts w:ascii="Times New Roman"/>
          <w:color w:val="000000" w:themeColor="text1"/>
          <w:sz w:val="24"/>
        </w:rPr>
        <w:t>2018年12月14日，</w:t>
      </w:r>
      <w:r>
        <w:rPr>
          <w:rFonts w:hint="eastAsia" w:ascii="Times New Roman"/>
          <w:color w:val="000000" w:themeColor="text1"/>
          <w:sz w:val="24"/>
        </w:rPr>
        <w:t>公司</w:t>
      </w:r>
      <w:r>
        <w:rPr>
          <w:rFonts w:ascii="Times New Roman"/>
          <w:color w:val="000000" w:themeColor="text1"/>
          <w:sz w:val="24"/>
        </w:rPr>
        <w:t>召开碳盘查启动会，</w:t>
      </w:r>
      <w:r>
        <w:rPr>
          <w:rFonts w:hint="eastAsia" w:ascii="Times New Roman"/>
          <w:color w:val="000000" w:themeColor="text1"/>
          <w:sz w:val="24"/>
        </w:rPr>
        <w:t>对</w:t>
      </w:r>
      <w:r>
        <w:rPr>
          <w:rFonts w:ascii="Times New Roman"/>
          <w:color w:val="000000" w:themeColor="text1"/>
          <w:sz w:val="24"/>
        </w:rPr>
        <w:t>企业的碳盘查工作进行了统一部署。为顺利实施试点企业碳盘查，</w:t>
      </w:r>
      <w:r>
        <w:rPr>
          <w:rFonts w:hint="eastAsia" w:ascii="Times New Roman"/>
          <w:color w:val="000000" w:themeColor="text1"/>
          <w:sz w:val="24"/>
        </w:rPr>
        <w:t>我公司</w:t>
      </w:r>
      <w:r>
        <w:rPr>
          <w:rFonts w:ascii="Times New Roman"/>
          <w:color w:val="000000" w:themeColor="text1"/>
          <w:sz w:val="24"/>
        </w:rPr>
        <w:t>分别于12月14日和12月22日组织了两次内部培训会，对参与碳盘查人员进行盘查技术培训。</w:t>
      </w:r>
    </w:p>
    <w:p>
      <w:pPr>
        <w:pStyle w:val="45"/>
        <w:spacing w:line="360" w:lineRule="auto"/>
        <w:ind w:firstLine="480"/>
        <w:rPr>
          <w:rFonts w:ascii="Times New Roman"/>
          <w:sz w:val="24"/>
        </w:rPr>
      </w:pPr>
      <w:r>
        <w:rPr>
          <w:rFonts w:ascii="Times New Roman"/>
          <w:sz w:val="24"/>
        </w:rPr>
        <w:t>201</w:t>
      </w:r>
      <w:r>
        <w:rPr>
          <w:rFonts w:hint="eastAsia" w:ascii="Times New Roman"/>
          <w:sz w:val="24"/>
        </w:rPr>
        <w:t>9</w:t>
      </w:r>
      <w:r>
        <w:rPr>
          <w:rFonts w:ascii="Times New Roman"/>
          <w:sz w:val="24"/>
        </w:rPr>
        <w:t>年2月1日，企业碳盘查第二阶段工作全面启动</w:t>
      </w:r>
      <w:r>
        <w:rPr>
          <w:rFonts w:hint="eastAsia" w:ascii="Times New Roman"/>
          <w:sz w:val="24"/>
        </w:rPr>
        <w:t>，</w:t>
      </w:r>
      <w:r>
        <w:rPr>
          <w:rFonts w:ascii="Times New Roman"/>
          <w:sz w:val="24"/>
        </w:rPr>
        <w:t>并计划在201</w:t>
      </w:r>
      <w:r>
        <w:rPr>
          <w:rFonts w:hint="eastAsia" w:ascii="Times New Roman"/>
          <w:sz w:val="24"/>
        </w:rPr>
        <w:t>9</w:t>
      </w:r>
      <w:r>
        <w:rPr>
          <w:rFonts w:ascii="Times New Roman"/>
          <w:sz w:val="24"/>
        </w:rPr>
        <w:t>年</w:t>
      </w:r>
      <w:r>
        <w:rPr>
          <w:rFonts w:hint="eastAsia" w:ascii="Times New Roman"/>
          <w:sz w:val="24"/>
        </w:rPr>
        <w:t>2月1</w:t>
      </w:r>
      <w:r>
        <w:rPr>
          <w:rFonts w:ascii="Times New Roman"/>
          <w:sz w:val="24"/>
        </w:rPr>
        <w:t>0</w:t>
      </w:r>
      <w:r>
        <w:rPr>
          <w:rFonts w:hint="eastAsia" w:ascii="Times New Roman"/>
          <w:sz w:val="24"/>
        </w:rPr>
        <w:t>日前</w:t>
      </w:r>
      <w:r>
        <w:rPr>
          <w:rFonts w:ascii="Times New Roman"/>
          <w:sz w:val="24"/>
        </w:rPr>
        <w:t>完成相关企业的碳盘查工作。</w:t>
      </w:r>
      <w:r>
        <w:rPr>
          <w:rFonts w:ascii="Times New Roman"/>
          <w:sz w:val="24"/>
          <w:szCs w:val="24"/>
        </w:rPr>
        <w:t>碳盘查现场协调会上强调的对碳盘查工作的三点要求：盘查准确、梳理全面、诊断科学，来完成此次碳盘查工作。</w:t>
      </w:r>
    </w:p>
    <w:p>
      <w:pPr>
        <w:pStyle w:val="60"/>
        <w:spacing w:line="360" w:lineRule="auto"/>
        <w:outlineLvl w:val="2"/>
        <w:rPr>
          <w:rFonts w:eastAsia="宋体"/>
          <w:sz w:val="24"/>
        </w:rPr>
      </w:pPr>
      <w:bookmarkStart w:id="7" w:name="_Toc512074764"/>
      <w:r>
        <w:rPr>
          <w:rFonts w:eastAsia="宋体"/>
          <w:sz w:val="24"/>
        </w:rPr>
        <w:t>1.4.1 工作流程</w:t>
      </w:r>
      <w:bookmarkEnd w:id="7"/>
    </w:p>
    <w:p>
      <w:pPr>
        <w:pStyle w:val="45"/>
        <w:spacing w:line="360" w:lineRule="auto"/>
        <w:ind w:firstLine="480"/>
        <w:rPr>
          <w:rFonts w:ascii="Times New Roman"/>
          <w:sz w:val="24"/>
          <w:szCs w:val="24"/>
        </w:rPr>
      </w:pPr>
      <w:r>
        <w:rPr>
          <w:rFonts w:ascii="Times New Roman"/>
          <w:sz w:val="24"/>
          <w:szCs w:val="24"/>
        </w:rPr>
        <w:t>开展“盘查”工作的过程主要包括以下6个实施步骤：</w:t>
      </w:r>
    </w:p>
    <w:p>
      <w:pPr>
        <w:pStyle w:val="45"/>
        <w:numPr>
          <w:ilvl w:val="0"/>
          <w:numId w:val="0"/>
        </w:numPr>
        <w:spacing w:line="360" w:lineRule="auto"/>
        <w:ind w:left="480" w:leftChars="0"/>
        <w:jc w:val="left"/>
        <w:rPr>
          <w:rFonts w:ascii="Times New Roman"/>
          <w:sz w:val="24"/>
          <w:szCs w:val="24"/>
        </w:rPr>
      </w:pPr>
      <w:r>
        <w:rPr>
          <w:rFonts w:hint="eastAsia" w:ascii="Times New Roman"/>
          <w:sz w:val="24"/>
          <w:szCs w:val="24"/>
          <w:lang w:val="en-US" w:eastAsia="zh-CN"/>
        </w:rPr>
        <w:t>1、</w:t>
      </w:r>
      <w:r>
        <w:rPr>
          <w:rFonts w:ascii="Times New Roman"/>
          <w:sz w:val="24"/>
          <w:szCs w:val="24"/>
        </w:rPr>
        <w:t>盘查准备：组成盘查组，</w:t>
      </w:r>
      <w:r>
        <w:rPr>
          <w:rFonts w:hint="eastAsia" w:ascii="Times New Roman"/>
          <w:sz w:val="24"/>
          <w:szCs w:val="24"/>
        </w:rPr>
        <w:t>列</w:t>
      </w:r>
      <w:r>
        <w:rPr>
          <w:rFonts w:ascii="Times New Roman"/>
          <w:sz w:val="24"/>
          <w:szCs w:val="24"/>
        </w:rPr>
        <w:t>出数据需求。</w:t>
      </w:r>
    </w:p>
    <w:p>
      <w:pPr>
        <w:pStyle w:val="45"/>
        <w:numPr>
          <w:ilvl w:val="0"/>
          <w:numId w:val="0"/>
        </w:numPr>
        <w:spacing w:line="360" w:lineRule="auto"/>
        <w:ind w:left="480" w:leftChars="0"/>
        <w:jc w:val="left"/>
        <w:rPr>
          <w:rFonts w:ascii="Times New Roman"/>
          <w:sz w:val="24"/>
          <w:szCs w:val="24"/>
        </w:rPr>
      </w:pPr>
      <w:r>
        <w:rPr>
          <w:rFonts w:hint="eastAsia" w:ascii="Times New Roman"/>
          <w:sz w:val="24"/>
          <w:szCs w:val="24"/>
          <w:lang w:val="en-US" w:eastAsia="zh-CN"/>
        </w:rPr>
        <w:t>2、</w:t>
      </w:r>
      <w:r>
        <w:rPr>
          <w:rFonts w:ascii="Times New Roman"/>
          <w:sz w:val="24"/>
          <w:szCs w:val="24"/>
        </w:rPr>
        <w:t>文件评审：盘查组提前告</w:t>
      </w:r>
      <w:r>
        <w:rPr>
          <w:rFonts w:hint="eastAsia" w:ascii="Times New Roman"/>
          <w:sz w:val="24"/>
          <w:szCs w:val="24"/>
        </w:rPr>
        <w:t>知各相关部门</w:t>
      </w:r>
      <w:r>
        <w:rPr>
          <w:rFonts w:ascii="Times New Roman"/>
          <w:sz w:val="24"/>
          <w:szCs w:val="24"/>
        </w:rPr>
        <w:t>所需的文件清单，结合现场访问前收到的部分文件，初步识别提交数据存在的问题。</w:t>
      </w:r>
    </w:p>
    <w:p>
      <w:pPr>
        <w:pStyle w:val="45"/>
        <w:numPr>
          <w:ilvl w:val="0"/>
          <w:numId w:val="0"/>
        </w:numPr>
        <w:spacing w:line="360" w:lineRule="auto"/>
        <w:ind w:left="480" w:leftChars="0"/>
        <w:jc w:val="left"/>
        <w:rPr>
          <w:rFonts w:ascii="Times New Roman"/>
          <w:sz w:val="24"/>
          <w:szCs w:val="24"/>
        </w:rPr>
      </w:pPr>
      <w:r>
        <w:rPr>
          <w:rFonts w:hint="eastAsia" w:ascii="Times New Roman"/>
          <w:sz w:val="24"/>
          <w:szCs w:val="24"/>
          <w:lang w:val="en-US" w:eastAsia="zh-CN"/>
        </w:rPr>
        <w:t>3、</w:t>
      </w:r>
      <w:r>
        <w:rPr>
          <w:rFonts w:ascii="Times New Roman"/>
          <w:sz w:val="24"/>
          <w:szCs w:val="24"/>
        </w:rPr>
        <w:t>现场访问：现场访问流程包括6个子步骤：盘查启动会、查文件、看现场、访谈、盘查组内部讨论及盘查总结会。</w:t>
      </w:r>
    </w:p>
    <w:p>
      <w:pPr>
        <w:pStyle w:val="45"/>
        <w:numPr>
          <w:ilvl w:val="0"/>
          <w:numId w:val="0"/>
        </w:numPr>
        <w:spacing w:line="360" w:lineRule="auto"/>
        <w:ind w:left="480" w:leftChars="0"/>
        <w:jc w:val="left"/>
        <w:rPr>
          <w:rFonts w:ascii="Times New Roman"/>
          <w:sz w:val="24"/>
          <w:szCs w:val="24"/>
        </w:rPr>
      </w:pPr>
      <w:r>
        <w:rPr>
          <w:rFonts w:hint="eastAsia" w:ascii="Times New Roman"/>
          <w:sz w:val="24"/>
          <w:szCs w:val="24"/>
          <w:lang w:val="en-US" w:eastAsia="zh-CN"/>
        </w:rPr>
        <w:t>4、</w:t>
      </w:r>
      <w:r>
        <w:rPr>
          <w:rFonts w:ascii="Times New Roman"/>
          <w:sz w:val="24"/>
          <w:szCs w:val="24"/>
        </w:rPr>
        <w:t>报告编制：根据文件评审和现场访问的情况，盘查组对收集的数据提出修改和补充建议，核算温室气体排放量，同时开始编制盘查报告，描述盘查发现。</w:t>
      </w:r>
    </w:p>
    <w:p>
      <w:pPr>
        <w:pStyle w:val="45"/>
        <w:numPr>
          <w:ilvl w:val="0"/>
          <w:numId w:val="0"/>
        </w:numPr>
        <w:spacing w:line="360" w:lineRule="auto"/>
        <w:ind w:left="480" w:leftChars="0"/>
        <w:jc w:val="left"/>
        <w:rPr>
          <w:rFonts w:ascii="Times New Roman"/>
          <w:sz w:val="24"/>
          <w:szCs w:val="24"/>
        </w:rPr>
      </w:pPr>
      <w:r>
        <w:rPr>
          <w:rFonts w:hint="eastAsia" w:ascii="Times New Roman"/>
          <w:sz w:val="24"/>
          <w:szCs w:val="24"/>
          <w:lang w:val="en-US" w:eastAsia="zh-CN"/>
        </w:rPr>
        <w:t>5、</w:t>
      </w:r>
      <w:r>
        <w:rPr>
          <w:rFonts w:ascii="Times New Roman"/>
          <w:sz w:val="24"/>
          <w:szCs w:val="24"/>
        </w:rPr>
        <w:t>内部技术复核：由指定的内部技术复核员对温室气体排放量核算结果以及盘查报告进行质量校核。</w:t>
      </w:r>
    </w:p>
    <w:p>
      <w:pPr>
        <w:pStyle w:val="45"/>
        <w:numPr>
          <w:ilvl w:val="0"/>
          <w:numId w:val="0"/>
        </w:numPr>
        <w:spacing w:line="360" w:lineRule="auto"/>
        <w:ind w:left="480" w:leftChars="0"/>
        <w:jc w:val="left"/>
        <w:rPr>
          <w:rFonts w:ascii="Times New Roman"/>
          <w:sz w:val="24"/>
          <w:szCs w:val="24"/>
        </w:rPr>
      </w:pPr>
      <w:r>
        <w:rPr>
          <w:rFonts w:hint="eastAsia" w:ascii="Times New Roman"/>
          <w:sz w:val="24"/>
          <w:szCs w:val="24"/>
          <w:lang w:val="en-US" w:eastAsia="zh-CN"/>
        </w:rPr>
        <w:t>6、</w:t>
      </w:r>
      <w:r>
        <w:rPr>
          <w:rFonts w:ascii="Times New Roman"/>
          <w:sz w:val="24"/>
          <w:szCs w:val="24"/>
        </w:rPr>
        <w:t>盘查报告提交：通过内部技术复核后，盘查组将最终盘查报告提交给企业。</w:t>
      </w:r>
    </w:p>
    <w:p>
      <w:pPr>
        <w:pStyle w:val="60"/>
        <w:spacing w:line="360" w:lineRule="auto"/>
        <w:outlineLvl w:val="2"/>
        <w:rPr>
          <w:rFonts w:eastAsia="宋体"/>
          <w:sz w:val="24"/>
        </w:rPr>
      </w:pPr>
      <w:bookmarkStart w:id="8" w:name="_Toc512074765"/>
      <w:r>
        <w:rPr>
          <w:rFonts w:eastAsia="宋体"/>
          <w:sz w:val="24"/>
        </w:rPr>
        <w:t>1.4.2 盘查准备</w:t>
      </w:r>
      <w:bookmarkEnd w:id="8"/>
    </w:p>
    <w:p>
      <w:pPr>
        <w:pStyle w:val="45"/>
        <w:spacing w:line="360" w:lineRule="auto"/>
        <w:ind w:firstLine="480"/>
        <w:rPr>
          <w:rFonts w:ascii="Times New Roman"/>
          <w:sz w:val="24"/>
          <w:szCs w:val="24"/>
        </w:rPr>
      </w:pPr>
      <w:r>
        <w:rPr>
          <w:rFonts w:hint="eastAsia" w:ascii="Times New Roman"/>
          <w:sz w:val="24"/>
          <w:szCs w:val="24"/>
          <w:lang w:eastAsia="zh-CN"/>
        </w:rPr>
        <w:t>肥城金塔酒精化工设备有限公司</w:t>
      </w:r>
      <w:r>
        <w:rPr>
          <w:rFonts w:ascii="Times New Roman"/>
          <w:sz w:val="24"/>
          <w:szCs w:val="24"/>
        </w:rPr>
        <w:t>专门成立了盘查工作小组，明确由</w:t>
      </w:r>
      <w:r>
        <w:rPr>
          <w:rFonts w:hint="eastAsia" w:ascii="Times New Roman"/>
          <w:sz w:val="24"/>
          <w:szCs w:val="24"/>
        </w:rPr>
        <w:t>品管</w:t>
      </w:r>
      <w:r>
        <w:rPr>
          <w:rFonts w:ascii="Times New Roman"/>
          <w:sz w:val="24"/>
          <w:szCs w:val="24"/>
        </w:rPr>
        <w:t>部统筹本次碳盘查工作事宜。</w:t>
      </w:r>
    </w:p>
    <w:p>
      <w:pPr>
        <w:pStyle w:val="45"/>
        <w:spacing w:line="360" w:lineRule="auto"/>
        <w:ind w:firstLine="0" w:firstLineChars="0"/>
        <w:jc w:val="center"/>
        <w:rPr>
          <w:rFonts w:ascii="Times New Roman"/>
          <w:b/>
          <w:sz w:val="24"/>
          <w:szCs w:val="24"/>
        </w:rPr>
      </w:pPr>
      <w:r>
        <w:rPr>
          <w:rFonts w:ascii="Times New Roman"/>
          <w:b/>
          <w:sz w:val="24"/>
          <w:szCs w:val="24"/>
        </w:rPr>
        <w:t>表 1 碳盘查工作小组成员名单</w:t>
      </w:r>
    </w:p>
    <w:tbl>
      <w:tblPr>
        <w:tblStyle w:val="30"/>
        <w:tblW w:w="7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3"/>
        <w:gridCol w:w="3900"/>
        <w:gridCol w:w="3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723" w:type="dxa"/>
            <w:shd w:val="clear" w:color="auto" w:fill="auto"/>
            <w:tcMar>
              <w:top w:w="15" w:type="dxa"/>
              <w:left w:w="108" w:type="dxa"/>
              <w:bottom w:w="0" w:type="dxa"/>
              <w:right w:w="108" w:type="dxa"/>
            </w:tcMar>
            <w:vAlign w:val="center"/>
          </w:tcPr>
          <w:p>
            <w:pPr>
              <w:pStyle w:val="45"/>
              <w:ind w:firstLine="0" w:firstLineChars="0"/>
              <w:rPr>
                <w:rFonts w:ascii="Times New Roman"/>
                <w:szCs w:val="21"/>
              </w:rPr>
            </w:pPr>
            <w:r>
              <w:rPr>
                <w:rFonts w:ascii="Times New Roman"/>
                <w:bCs/>
                <w:szCs w:val="21"/>
              </w:rPr>
              <w:t>组长：</w:t>
            </w:r>
          </w:p>
        </w:tc>
        <w:tc>
          <w:tcPr>
            <w:tcW w:w="3900" w:type="dxa"/>
            <w:shd w:val="clear" w:color="auto" w:fill="auto"/>
            <w:tcMar>
              <w:top w:w="15" w:type="dxa"/>
              <w:left w:w="108" w:type="dxa"/>
              <w:bottom w:w="0" w:type="dxa"/>
              <w:right w:w="108" w:type="dxa"/>
            </w:tcMar>
            <w:vAlign w:val="center"/>
          </w:tcPr>
          <w:p>
            <w:pPr>
              <w:pStyle w:val="45"/>
              <w:ind w:firstLine="0" w:firstLineChars="0"/>
              <w:rPr>
                <w:rFonts w:ascii="Times New Roman"/>
                <w:bCs/>
                <w:szCs w:val="21"/>
              </w:rPr>
            </w:pPr>
            <w:r>
              <w:rPr>
                <w:rFonts w:ascii="Times New Roman"/>
                <w:szCs w:val="21"/>
              </w:rPr>
              <w:t>整体工作安排、资料收集、工作对接、技术培训及答疑、数据处理及核算、现场访问、报告编制</w:t>
            </w:r>
          </w:p>
        </w:tc>
        <w:tc>
          <w:tcPr>
            <w:tcW w:w="3044" w:type="dxa"/>
            <w:shd w:val="clear" w:color="auto" w:fill="auto"/>
            <w:tcMar>
              <w:top w:w="15" w:type="dxa"/>
              <w:left w:w="108" w:type="dxa"/>
              <w:bottom w:w="0" w:type="dxa"/>
              <w:right w:w="108" w:type="dxa"/>
            </w:tcMar>
            <w:vAlign w:val="center"/>
          </w:tcPr>
          <w:p>
            <w:pPr>
              <w:pStyle w:val="45"/>
              <w:ind w:firstLine="0" w:firstLineChars="0"/>
              <w:rPr>
                <w:rFonts w:hint="eastAsia" w:ascii="Times New Roman" w:eastAsia="宋体"/>
                <w:szCs w:val="21"/>
                <w:lang w:eastAsia="zh-CN"/>
              </w:rPr>
            </w:pPr>
            <w:r>
              <w:rPr>
                <w:rFonts w:hint="eastAsia" w:ascii="Times New Roman"/>
                <w:szCs w:val="21"/>
                <w:lang w:eastAsia="zh-CN"/>
              </w:rPr>
              <w:t>李伟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723" w:type="dxa"/>
            <w:shd w:val="clear" w:color="auto" w:fill="auto"/>
            <w:tcMar>
              <w:top w:w="15" w:type="dxa"/>
              <w:left w:w="108" w:type="dxa"/>
              <w:bottom w:w="0" w:type="dxa"/>
              <w:right w:w="108" w:type="dxa"/>
            </w:tcMar>
            <w:vAlign w:val="center"/>
          </w:tcPr>
          <w:p>
            <w:pPr>
              <w:pStyle w:val="45"/>
              <w:ind w:firstLine="0" w:firstLineChars="0"/>
              <w:rPr>
                <w:rFonts w:ascii="Times New Roman"/>
                <w:szCs w:val="21"/>
              </w:rPr>
            </w:pPr>
            <w:r>
              <w:rPr>
                <w:rFonts w:ascii="Times New Roman"/>
                <w:bCs/>
                <w:szCs w:val="21"/>
              </w:rPr>
              <w:t>副组长：</w:t>
            </w:r>
          </w:p>
        </w:tc>
        <w:tc>
          <w:tcPr>
            <w:tcW w:w="3900" w:type="dxa"/>
            <w:shd w:val="clear" w:color="auto" w:fill="auto"/>
            <w:tcMar>
              <w:top w:w="15" w:type="dxa"/>
              <w:left w:w="108" w:type="dxa"/>
              <w:bottom w:w="0" w:type="dxa"/>
              <w:right w:w="108" w:type="dxa"/>
            </w:tcMar>
            <w:vAlign w:val="center"/>
          </w:tcPr>
          <w:p>
            <w:pPr>
              <w:pStyle w:val="45"/>
              <w:ind w:firstLine="0" w:firstLineChars="0"/>
              <w:rPr>
                <w:rFonts w:ascii="Times New Roman"/>
                <w:bCs/>
                <w:szCs w:val="21"/>
              </w:rPr>
            </w:pPr>
            <w:r>
              <w:rPr>
                <w:rFonts w:ascii="Times New Roman"/>
                <w:szCs w:val="21"/>
              </w:rPr>
              <w:t>资料收集、工作对接、技术培训及答疑、数据处理及核算、现场访问、报告编制</w:t>
            </w:r>
          </w:p>
        </w:tc>
        <w:tc>
          <w:tcPr>
            <w:tcW w:w="3044" w:type="dxa"/>
            <w:shd w:val="clear" w:color="auto" w:fill="auto"/>
            <w:tcMar>
              <w:top w:w="15" w:type="dxa"/>
              <w:left w:w="108" w:type="dxa"/>
              <w:bottom w:w="0" w:type="dxa"/>
              <w:right w:w="108" w:type="dxa"/>
            </w:tcMar>
            <w:vAlign w:val="center"/>
          </w:tcPr>
          <w:p>
            <w:pPr>
              <w:pStyle w:val="45"/>
              <w:ind w:firstLine="0" w:firstLineChars="0"/>
              <w:rPr>
                <w:rFonts w:hint="eastAsia" w:ascii="Times New Roman" w:eastAsia="宋体"/>
                <w:szCs w:val="21"/>
                <w:lang w:eastAsia="zh-CN"/>
              </w:rPr>
            </w:pPr>
            <w:r>
              <w:rPr>
                <w:rFonts w:hint="eastAsia" w:ascii="Times New Roman"/>
                <w:szCs w:val="21"/>
                <w:lang w:eastAsia="zh-CN"/>
              </w:rPr>
              <w:t>张铭涛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723" w:type="dxa"/>
            <w:shd w:val="clear" w:color="auto" w:fill="auto"/>
            <w:tcMar>
              <w:top w:w="15" w:type="dxa"/>
              <w:left w:w="108" w:type="dxa"/>
              <w:bottom w:w="0" w:type="dxa"/>
              <w:right w:w="108" w:type="dxa"/>
            </w:tcMar>
            <w:vAlign w:val="center"/>
          </w:tcPr>
          <w:p>
            <w:pPr>
              <w:pStyle w:val="45"/>
              <w:ind w:firstLine="0" w:firstLineChars="0"/>
              <w:rPr>
                <w:rFonts w:ascii="Times New Roman"/>
                <w:szCs w:val="21"/>
              </w:rPr>
            </w:pPr>
            <w:r>
              <w:rPr>
                <w:rFonts w:ascii="Times New Roman"/>
                <w:bCs/>
                <w:szCs w:val="21"/>
              </w:rPr>
              <w:t>成员：</w:t>
            </w:r>
          </w:p>
        </w:tc>
        <w:tc>
          <w:tcPr>
            <w:tcW w:w="3900" w:type="dxa"/>
            <w:shd w:val="clear" w:color="auto" w:fill="auto"/>
            <w:tcMar>
              <w:top w:w="15" w:type="dxa"/>
              <w:left w:w="108" w:type="dxa"/>
              <w:bottom w:w="0" w:type="dxa"/>
              <w:right w:w="108" w:type="dxa"/>
            </w:tcMar>
            <w:vAlign w:val="center"/>
          </w:tcPr>
          <w:p>
            <w:pPr>
              <w:pStyle w:val="45"/>
              <w:ind w:firstLine="0" w:firstLineChars="0"/>
              <w:rPr>
                <w:rFonts w:ascii="Times New Roman"/>
                <w:szCs w:val="21"/>
              </w:rPr>
            </w:pPr>
            <w:r>
              <w:rPr>
                <w:rFonts w:ascii="Times New Roman"/>
                <w:szCs w:val="21"/>
              </w:rPr>
              <w:t>数据处理、数据核对、参与现场访问</w:t>
            </w:r>
          </w:p>
        </w:tc>
        <w:tc>
          <w:tcPr>
            <w:tcW w:w="3044" w:type="dxa"/>
            <w:shd w:val="clear" w:color="auto" w:fill="auto"/>
            <w:tcMar>
              <w:top w:w="15" w:type="dxa"/>
              <w:left w:w="108" w:type="dxa"/>
              <w:bottom w:w="0" w:type="dxa"/>
              <w:right w:w="108" w:type="dxa"/>
            </w:tcMar>
            <w:vAlign w:val="center"/>
          </w:tcPr>
          <w:p>
            <w:pPr>
              <w:pStyle w:val="45"/>
              <w:ind w:firstLine="0" w:firstLineChars="0"/>
              <w:rPr>
                <w:rFonts w:hint="eastAsia" w:ascii="Times New Roman" w:eastAsia="宋体"/>
                <w:szCs w:val="21"/>
                <w:lang w:val="en-US" w:eastAsia="zh-CN"/>
              </w:rPr>
            </w:pPr>
            <w:r>
              <w:rPr>
                <w:rFonts w:hint="eastAsia" w:ascii="Times New Roman"/>
                <w:szCs w:val="21"/>
                <w:lang w:val="en-US" w:eastAsia="zh-CN"/>
              </w:rPr>
              <w:t>李大兵、尹衍刚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723" w:type="dxa"/>
            <w:shd w:val="clear" w:color="auto" w:fill="auto"/>
            <w:tcMar>
              <w:top w:w="15" w:type="dxa"/>
              <w:left w:w="108" w:type="dxa"/>
              <w:bottom w:w="0" w:type="dxa"/>
              <w:right w:w="108" w:type="dxa"/>
            </w:tcMar>
            <w:vAlign w:val="center"/>
          </w:tcPr>
          <w:p>
            <w:pPr>
              <w:pStyle w:val="45"/>
              <w:ind w:firstLine="0" w:firstLineChars="0"/>
              <w:rPr>
                <w:rFonts w:ascii="Times New Roman"/>
                <w:szCs w:val="21"/>
              </w:rPr>
            </w:pPr>
          </w:p>
        </w:tc>
        <w:tc>
          <w:tcPr>
            <w:tcW w:w="3900" w:type="dxa"/>
            <w:shd w:val="clear" w:color="auto" w:fill="auto"/>
            <w:tcMar>
              <w:top w:w="15" w:type="dxa"/>
              <w:left w:w="108" w:type="dxa"/>
              <w:bottom w:w="0" w:type="dxa"/>
              <w:right w:w="108" w:type="dxa"/>
            </w:tcMar>
            <w:vAlign w:val="center"/>
          </w:tcPr>
          <w:p>
            <w:pPr>
              <w:pStyle w:val="45"/>
              <w:ind w:firstLine="0" w:firstLineChars="0"/>
              <w:rPr>
                <w:rFonts w:ascii="Times New Roman"/>
                <w:bCs/>
                <w:szCs w:val="21"/>
              </w:rPr>
            </w:pPr>
          </w:p>
        </w:tc>
        <w:tc>
          <w:tcPr>
            <w:tcW w:w="3044" w:type="dxa"/>
            <w:shd w:val="clear" w:color="auto" w:fill="auto"/>
            <w:tcMar>
              <w:top w:w="15" w:type="dxa"/>
              <w:left w:w="108" w:type="dxa"/>
              <w:bottom w:w="0" w:type="dxa"/>
              <w:right w:w="108" w:type="dxa"/>
            </w:tcMar>
            <w:vAlign w:val="center"/>
          </w:tcPr>
          <w:p>
            <w:pPr>
              <w:pStyle w:val="45"/>
              <w:ind w:firstLine="0" w:firstLineChars="0"/>
              <w:rPr>
                <w:rFonts w:ascii="Times New Roman"/>
                <w:bCs/>
                <w:szCs w:val="21"/>
              </w:rPr>
            </w:pPr>
          </w:p>
        </w:tc>
      </w:tr>
    </w:tbl>
    <w:p>
      <w:pPr>
        <w:pStyle w:val="60"/>
        <w:spacing w:line="360" w:lineRule="auto"/>
        <w:outlineLvl w:val="2"/>
        <w:rPr>
          <w:rFonts w:eastAsia="宋体"/>
          <w:sz w:val="24"/>
        </w:rPr>
      </w:pPr>
      <w:bookmarkStart w:id="9" w:name="_Toc512074766"/>
      <w:r>
        <w:rPr>
          <w:rFonts w:eastAsia="宋体"/>
          <w:sz w:val="24"/>
        </w:rPr>
        <w:t>1.4.3文件评审</w:t>
      </w:r>
      <w:bookmarkEnd w:id="9"/>
    </w:p>
    <w:p>
      <w:pPr>
        <w:pStyle w:val="45"/>
        <w:spacing w:line="360" w:lineRule="auto"/>
        <w:ind w:firstLine="480"/>
        <w:rPr>
          <w:rFonts w:ascii="Times New Roman" w:eastAsiaTheme="minorEastAsia"/>
          <w:sz w:val="24"/>
          <w:szCs w:val="24"/>
        </w:rPr>
      </w:pPr>
      <w:r>
        <w:rPr>
          <w:rFonts w:ascii="Times New Roman" w:eastAsiaTheme="minorEastAsia"/>
          <w:sz w:val="24"/>
          <w:szCs w:val="24"/>
        </w:rPr>
        <w:t>企业提供的支持性文件，详见盘查报告附件1“参考文献”。</w:t>
      </w:r>
    </w:p>
    <w:p>
      <w:pPr>
        <w:pStyle w:val="45"/>
        <w:spacing w:line="360" w:lineRule="auto"/>
        <w:ind w:firstLine="480"/>
        <w:rPr>
          <w:rFonts w:ascii="Times New Roman" w:eastAsiaTheme="minorEastAsia"/>
          <w:sz w:val="24"/>
          <w:szCs w:val="24"/>
        </w:rPr>
      </w:pPr>
      <w:r>
        <w:rPr>
          <w:rFonts w:ascii="Times New Roman" w:eastAsiaTheme="minorEastAsia"/>
          <w:sz w:val="24"/>
          <w:szCs w:val="24"/>
        </w:rPr>
        <w:t>盘查组通过初步评审相关文件，识别出现场访问的重点为：现场查看企业的实际排放设施和测量设备，现场查阅企业的支持性文件，通过交叉核对判断核算相关数据数据是否真实、可靠、正确。</w:t>
      </w:r>
    </w:p>
    <w:p>
      <w:pPr>
        <w:pStyle w:val="60"/>
        <w:spacing w:line="360" w:lineRule="auto"/>
        <w:outlineLvl w:val="2"/>
        <w:rPr>
          <w:rFonts w:eastAsia="宋体"/>
          <w:sz w:val="24"/>
        </w:rPr>
      </w:pPr>
      <w:bookmarkStart w:id="10" w:name="_Toc512074767"/>
      <w:r>
        <w:rPr>
          <w:rFonts w:eastAsia="宋体"/>
          <w:sz w:val="24"/>
        </w:rPr>
        <w:t>1.4.4现场</w:t>
      </w:r>
      <w:r>
        <w:rPr>
          <w:rFonts w:hint="eastAsia" w:eastAsia="宋体"/>
          <w:sz w:val="24"/>
        </w:rPr>
        <w:t>核查</w:t>
      </w:r>
      <w:bookmarkEnd w:id="10"/>
    </w:p>
    <w:p>
      <w:pPr>
        <w:spacing w:line="360" w:lineRule="auto"/>
        <w:ind w:firstLine="480" w:firstLineChars="200"/>
        <w:rPr>
          <w:rFonts w:eastAsiaTheme="minorEastAsia"/>
          <w:sz w:val="24"/>
        </w:rPr>
      </w:pPr>
      <w:r>
        <w:rPr>
          <w:rFonts w:eastAsiaTheme="minorEastAsia"/>
          <w:sz w:val="24"/>
        </w:rPr>
        <w:t>盘查组于201</w:t>
      </w:r>
      <w:r>
        <w:rPr>
          <w:rFonts w:hint="eastAsia" w:eastAsiaTheme="minorEastAsia"/>
          <w:sz w:val="24"/>
        </w:rPr>
        <w:t>9</w:t>
      </w:r>
      <w:r>
        <w:rPr>
          <w:rFonts w:eastAsiaTheme="minorEastAsia"/>
          <w:sz w:val="24"/>
        </w:rPr>
        <w:t>年1月10日</w:t>
      </w:r>
      <w:r>
        <w:rPr>
          <w:rFonts w:hint="eastAsia" w:eastAsiaTheme="minorEastAsia"/>
          <w:sz w:val="24"/>
        </w:rPr>
        <w:t>-</w:t>
      </w:r>
      <w:r>
        <w:rPr>
          <w:rFonts w:eastAsiaTheme="minorEastAsia"/>
          <w:sz w:val="24"/>
        </w:rPr>
        <w:t>1月</w:t>
      </w:r>
      <w:r>
        <w:rPr>
          <w:rFonts w:hint="eastAsia" w:eastAsiaTheme="minorEastAsia"/>
          <w:sz w:val="24"/>
        </w:rPr>
        <w:t>3</w:t>
      </w:r>
      <w:r>
        <w:rPr>
          <w:rFonts w:eastAsiaTheme="minorEastAsia"/>
          <w:sz w:val="24"/>
        </w:rPr>
        <w:t>1日对企业进行了现场访问。现场访问的流程主要包括启动会议、收集和查看现场前未提供的支持性材料、现场查看相关排放设施及测量设备、与企业进行访谈、盘查组内部讨论、总结会议6个子步骤。</w:t>
      </w:r>
    </w:p>
    <w:p>
      <w:pPr>
        <w:spacing w:line="360" w:lineRule="auto"/>
        <w:ind w:firstLine="480" w:firstLineChars="200"/>
        <w:rPr>
          <w:rFonts w:eastAsiaTheme="minorEastAsia"/>
          <w:sz w:val="24"/>
        </w:rPr>
      </w:pPr>
      <w:r>
        <w:rPr>
          <w:rFonts w:eastAsiaTheme="minorEastAsia"/>
          <w:sz w:val="24"/>
        </w:rPr>
        <w:t>企业主管领导、</w:t>
      </w:r>
      <w:r>
        <w:rPr>
          <w:rFonts w:hint="eastAsia" w:eastAsiaTheme="minorEastAsia"/>
          <w:sz w:val="24"/>
        </w:rPr>
        <w:t>盘查</w:t>
      </w:r>
      <w:r>
        <w:rPr>
          <w:rFonts w:eastAsiaTheme="minorEastAsia"/>
          <w:sz w:val="24"/>
        </w:rPr>
        <w:t>查工作小组成员以及各部门负责人参加了现场访问的相应步骤，提供文件材料。</w:t>
      </w:r>
      <w:r>
        <w:rPr>
          <w:rFonts w:hint="eastAsia" w:eastAsiaTheme="minorEastAsia"/>
          <w:sz w:val="24"/>
        </w:rPr>
        <w:t>盘查</w:t>
      </w:r>
      <w:r>
        <w:rPr>
          <w:rFonts w:eastAsiaTheme="minorEastAsia"/>
          <w:sz w:val="24"/>
        </w:rPr>
        <w:t>工作资料对接部门情况如</w:t>
      </w:r>
      <w:r>
        <w:rPr>
          <w:rFonts w:hint="eastAsia" w:eastAsiaTheme="minorEastAsia"/>
          <w:sz w:val="24"/>
        </w:rPr>
        <w:t>表3所示：</w:t>
      </w:r>
    </w:p>
    <w:p>
      <w:pPr>
        <w:spacing w:line="360" w:lineRule="auto"/>
        <w:jc w:val="center"/>
        <w:rPr>
          <w:rFonts w:eastAsiaTheme="minorEastAsia"/>
          <w:b/>
          <w:sz w:val="24"/>
        </w:rPr>
      </w:pPr>
      <w:bookmarkStart w:id="11" w:name="_Ref382510764"/>
      <w:r>
        <w:rPr>
          <w:rFonts w:eastAsiaTheme="minorEastAsia"/>
          <w:b/>
          <w:sz w:val="24"/>
        </w:rPr>
        <w:t>表</w:t>
      </w:r>
      <w:bookmarkEnd w:id="11"/>
      <w:r>
        <w:rPr>
          <w:rFonts w:eastAsiaTheme="minorEastAsia"/>
          <w:b/>
          <w:sz w:val="24"/>
        </w:rPr>
        <w:t>2碳盘查工作资料对接部门</w:t>
      </w:r>
    </w:p>
    <w:tbl>
      <w:tblPr>
        <w:tblStyle w:val="31"/>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6"/>
        <w:gridCol w:w="7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436" w:type="dxa"/>
          </w:tcPr>
          <w:p>
            <w:pPr>
              <w:jc w:val="center"/>
              <w:rPr>
                <w:rFonts w:eastAsiaTheme="minorEastAsia"/>
                <w:b/>
              </w:rPr>
            </w:pPr>
            <w:r>
              <w:rPr>
                <w:rFonts w:eastAsiaTheme="minorEastAsia"/>
                <w:b/>
              </w:rPr>
              <w:t>部门</w:t>
            </w:r>
          </w:p>
        </w:tc>
        <w:tc>
          <w:tcPr>
            <w:tcW w:w="7086" w:type="dxa"/>
          </w:tcPr>
          <w:p>
            <w:pPr>
              <w:jc w:val="center"/>
              <w:rPr>
                <w:rFonts w:eastAsiaTheme="minorEastAsia"/>
                <w:b/>
              </w:rPr>
            </w:pPr>
            <w:r>
              <w:rPr>
                <w:rFonts w:eastAsiaTheme="minorEastAsia"/>
                <w:b/>
              </w:rPr>
              <w:t>资料对接情况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6" w:type="dxa"/>
            <w:vAlign w:val="center"/>
          </w:tcPr>
          <w:p>
            <w:pPr>
              <w:jc w:val="center"/>
              <w:rPr>
                <w:rFonts w:hint="eastAsia" w:eastAsiaTheme="minorEastAsia"/>
                <w:lang w:eastAsia="zh-CN"/>
              </w:rPr>
            </w:pPr>
            <w:r>
              <w:rPr>
                <w:rFonts w:hint="eastAsia" w:eastAsiaTheme="minorEastAsia"/>
                <w:lang w:eastAsia="zh-CN"/>
              </w:rPr>
              <w:t>办公室</w:t>
            </w:r>
          </w:p>
        </w:tc>
        <w:tc>
          <w:tcPr>
            <w:tcW w:w="7086" w:type="dxa"/>
          </w:tcPr>
          <w:p>
            <w:pPr>
              <w:jc w:val="left"/>
              <w:rPr>
                <w:rFonts w:eastAsiaTheme="minorEastAsia"/>
              </w:rPr>
            </w:pPr>
            <w:r>
              <w:rPr>
                <w:rFonts w:eastAsiaTheme="minorEastAsia"/>
                <w:bCs/>
              </w:rPr>
              <w:t>碳盘查主要对接部门。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6" w:type="dxa"/>
            <w:vAlign w:val="center"/>
          </w:tcPr>
          <w:p>
            <w:pPr>
              <w:jc w:val="center"/>
              <w:rPr>
                <w:rFonts w:hint="eastAsia" w:eastAsiaTheme="minorEastAsia"/>
                <w:lang w:eastAsia="zh-CN"/>
              </w:rPr>
            </w:pPr>
            <w:r>
              <w:rPr>
                <w:rFonts w:hint="eastAsia" w:eastAsiaTheme="minorEastAsia"/>
                <w:lang w:eastAsia="zh-CN"/>
              </w:rPr>
              <w:t>财务部</w:t>
            </w:r>
          </w:p>
        </w:tc>
        <w:tc>
          <w:tcPr>
            <w:tcW w:w="7086" w:type="dxa"/>
          </w:tcPr>
          <w:p>
            <w:pPr>
              <w:jc w:val="left"/>
              <w:rPr>
                <w:rFonts w:eastAsiaTheme="minorEastAsia"/>
              </w:rPr>
            </w:pPr>
            <w:r>
              <w:rPr>
                <w:rFonts w:eastAsiaTheme="minorEastAsia"/>
                <w:bCs/>
              </w:rPr>
              <w:t>负责全公司计划制定以及数据最终统计，数据主要来自于</w:t>
            </w:r>
            <w:r>
              <w:rPr>
                <w:rFonts w:hint="eastAsia" w:eastAsiaTheme="minorEastAsia"/>
                <w:bCs/>
                <w:lang w:eastAsia="zh-CN"/>
              </w:rPr>
              <w:t>生产</w:t>
            </w:r>
            <w:r>
              <w:rPr>
                <w:rFonts w:eastAsiaTheme="minorEastAsia"/>
                <w:bCs/>
              </w:rPr>
              <w:t>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6" w:type="dxa"/>
            <w:vAlign w:val="center"/>
          </w:tcPr>
          <w:p>
            <w:pPr>
              <w:jc w:val="center"/>
              <w:rPr>
                <w:rFonts w:eastAsiaTheme="minorEastAsia"/>
              </w:rPr>
            </w:pPr>
            <w:r>
              <w:rPr>
                <w:rFonts w:eastAsiaTheme="minorEastAsia"/>
              </w:rPr>
              <w:t>生产部</w:t>
            </w:r>
          </w:p>
        </w:tc>
        <w:tc>
          <w:tcPr>
            <w:tcW w:w="7086" w:type="dxa"/>
          </w:tcPr>
          <w:p>
            <w:pPr>
              <w:jc w:val="left"/>
              <w:rPr>
                <w:rFonts w:eastAsiaTheme="minorEastAsia"/>
              </w:rPr>
            </w:pPr>
            <w:r>
              <w:rPr>
                <w:rFonts w:eastAsiaTheme="minorEastAsia"/>
                <w:bCs/>
              </w:rPr>
              <w:t>负责日常生产调度，生产数据统计，燃料气管理。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6" w:type="dxa"/>
            <w:vAlign w:val="center"/>
          </w:tcPr>
          <w:p>
            <w:pPr>
              <w:jc w:val="center"/>
              <w:rPr>
                <w:rFonts w:hint="eastAsia" w:eastAsiaTheme="minorEastAsia"/>
                <w:lang w:eastAsia="zh-CN"/>
              </w:rPr>
            </w:pPr>
            <w:r>
              <w:rPr>
                <w:rFonts w:hint="eastAsia" w:eastAsiaTheme="minorEastAsia"/>
                <w:lang w:eastAsia="zh-CN"/>
              </w:rPr>
              <w:t>生产部</w:t>
            </w:r>
          </w:p>
        </w:tc>
        <w:tc>
          <w:tcPr>
            <w:tcW w:w="7086" w:type="dxa"/>
          </w:tcPr>
          <w:p>
            <w:pPr>
              <w:jc w:val="left"/>
              <w:rPr>
                <w:rFonts w:eastAsiaTheme="minorEastAsia"/>
              </w:rPr>
            </w:pPr>
            <w:r>
              <w:rPr>
                <w:rFonts w:eastAsiaTheme="minorEastAsia"/>
                <w:bCs/>
              </w:rPr>
              <w:t>负责全公司设备管理，重点排放设备管理。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6" w:type="dxa"/>
            <w:vAlign w:val="center"/>
          </w:tcPr>
          <w:p>
            <w:pPr>
              <w:jc w:val="center"/>
              <w:rPr>
                <w:rFonts w:hint="eastAsia" w:eastAsiaTheme="minorEastAsia"/>
                <w:lang w:eastAsia="zh-CN"/>
              </w:rPr>
            </w:pPr>
            <w:r>
              <w:rPr>
                <w:rFonts w:hint="eastAsia" w:eastAsiaTheme="minorEastAsia"/>
                <w:lang w:eastAsia="zh-CN"/>
              </w:rPr>
              <w:t>生产部</w:t>
            </w:r>
          </w:p>
        </w:tc>
        <w:tc>
          <w:tcPr>
            <w:tcW w:w="7086" w:type="dxa"/>
          </w:tcPr>
          <w:p>
            <w:pPr>
              <w:jc w:val="left"/>
              <w:rPr>
                <w:rFonts w:eastAsiaTheme="minorEastAsia"/>
              </w:rPr>
            </w:pPr>
            <w:r>
              <w:rPr>
                <w:rFonts w:eastAsiaTheme="minorEastAsia"/>
                <w:bCs/>
              </w:rPr>
              <w:t>负责计量器具管理以及外购电管理。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6" w:type="dxa"/>
            <w:vAlign w:val="center"/>
          </w:tcPr>
          <w:p>
            <w:pPr>
              <w:jc w:val="center"/>
              <w:rPr>
                <w:rFonts w:hint="eastAsia" w:eastAsiaTheme="minorEastAsia"/>
                <w:lang w:eastAsia="zh-CN"/>
              </w:rPr>
            </w:pPr>
            <w:r>
              <w:rPr>
                <w:rFonts w:hint="eastAsia" w:eastAsiaTheme="minorEastAsia"/>
                <w:lang w:eastAsia="zh-CN"/>
              </w:rPr>
              <w:t>生产部</w:t>
            </w:r>
          </w:p>
        </w:tc>
        <w:tc>
          <w:tcPr>
            <w:tcW w:w="7086" w:type="dxa"/>
          </w:tcPr>
          <w:p>
            <w:pPr>
              <w:jc w:val="left"/>
              <w:rPr>
                <w:rFonts w:eastAsiaTheme="minorEastAsia"/>
              </w:rPr>
            </w:pPr>
            <w:r>
              <w:rPr>
                <w:rFonts w:eastAsiaTheme="minorEastAsia"/>
                <w:bCs/>
              </w:rPr>
              <w:t>负责公司化验器具管理与化验工作。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36" w:type="dxa"/>
            <w:vAlign w:val="center"/>
          </w:tcPr>
          <w:p>
            <w:pPr>
              <w:jc w:val="center"/>
              <w:rPr>
                <w:rFonts w:hint="eastAsia" w:eastAsiaTheme="minorEastAsia"/>
                <w:lang w:eastAsia="zh-CN"/>
              </w:rPr>
            </w:pPr>
            <w:r>
              <w:rPr>
                <w:rFonts w:hint="eastAsia" w:eastAsiaTheme="minorEastAsia"/>
                <w:lang w:eastAsia="zh-CN"/>
              </w:rPr>
              <w:t>生产部</w:t>
            </w:r>
          </w:p>
        </w:tc>
        <w:tc>
          <w:tcPr>
            <w:tcW w:w="7086" w:type="dxa"/>
          </w:tcPr>
          <w:p>
            <w:pPr>
              <w:jc w:val="left"/>
              <w:rPr>
                <w:rFonts w:eastAsiaTheme="minorEastAsia"/>
              </w:rPr>
            </w:pPr>
            <w:r>
              <w:rPr>
                <w:rFonts w:eastAsiaTheme="minorEastAsia"/>
                <w:bCs/>
              </w:rPr>
              <w:t>负责安全环保工作。提供燃烧废气排放等统计数据。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6" w:type="dxa"/>
            <w:vAlign w:val="center"/>
          </w:tcPr>
          <w:p>
            <w:pPr>
              <w:jc w:val="center"/>
              <w:rPr>
                <w:rFonts w:hint="eastAsia" w:eastAsiaTheme="minorEastAsia"/>
                <w:lang w:eastAsia="zh-CN"/>
              </w:rPr>
            </w:pPr>
            <w:r>
              <w:rPr>
                <w:rFonts w:hint="eastAsia" w:eastAsiaTheme="minorEastAsia"/>
                <w:lang w:eastAsia="zh-CN"/>
              </w:rPr>
              <w:t>生产部</w:t>
            </w:r>
          </w:p>
        </w:tc>
        <w:tc>
          <w:tcPr>
            <w:tcW w:w="7086" w:type="dxa"/>
          </w:tcPr>
          <w:p>
            <w:pPr>
              <w:jc w:val="left"/>
              <w:rPr>
                <w:rFonts w:eastAsiaTheme="minorEastAsia"/>
              </w:rPr>
            </w:pPr>
            <w:r>
              <w:rPr>
                <w:rFonts w:eastAsiaTheme="minorEastAsia"/>
                <w:bCs/>
              </w:rPr>
              <w:t>全厂用循环水、污水治理与排放。</w:t>
            </w:r>
          </w:p>
        </w:tc>
      </w:tr>
    </w:tbl>
    <w:p>
      <w:pPr>
        <w:pStyle w:val="60"/>
        <w:spacing w:line="360" w:lineRule="auto"/>
        <w:outlineLvl w:val="2"/>
        <w:rPr>
          <w:rFonts w:eastAsia="宋体"/>
          <w:sz w:val="24"/>
        </w:rPr>
      </w:pPr>
      <w:bookmarkStart w:id="12" w:name="_Toc512074768"/>
      <w:r>
        <w:rPr>
          <w:rFonts w:eastAsia="宋体"/>
          <w:sz w:val="24"/>
        </w:rPr>
        <w:t>1.4.5报告编制及提交</w:t>
      </w:r>
      <w:bookmarkEnd w:id="12"/>
    </w:p>
    <w:p>
      <w:pPr>
        <w:pStyle w:val="45"/>
        <w:spacing w:line="360" w:lineRule="auto"/>
        <w:ind w:firstLine="480"/>
        <w:rPr>
          <w:rFonts w:ascii="Times New Roman"/>
          <w:sz w:val="24"/>
          <w:szCs w:val="24"/>
        </w:rPr>
      </w:pPr>
      <w:r>
        <w:rPr>
          <w:rFonts w:ascii="Times New Roman"/>
          <w:sz w:val="24"/>
          <w:szCs w:val="24"/>
        </w:rPr>
        <w:t>为保证报告质量，盘查工作实施组长负责制、技术复核人复核制、质量管理委员会把关三级质量管理体系。即对每一个盘查项目均执行三级质量校核程序，且实行质量控制前移的措施及时把控每一环节的盘查质量。盘查工作的第一负责人为盘查组组长。盘查组组长负责在盘查过程中对盘查组成员进行指导，并控制最终盘查报告的质量；技术复核人负责在最终盘查报告提交给客户前控制最终盘查报告的质量；质量管理委员会负责盘查工作整体质量的把控，以及报告的批准工作。在盘查报告获得批准后，可向外发布。</w:t>
      </w:r>
    </w:p>
    <w:p>
      <w:pPr>
        <w:widowControl/>
        <w:jc w:val="left"/>
        <w:rPr>
          <w:kern w:val="0"/>
          <w:sz w:val="24"/>
        </w:rPr>
      </w:pPr>
      <w:r>
        <w:rPr>
          <w:sz w:val="24"/>
        </w:rPr>
        <w:br w:type="page"/>
      </w:r>
    </w:p>
    <w:p>
      <w:pPr>
        <w:pStyle w:val="63"/>
        <w:rPr>
          <w:b w:val="0"/>
        </w:rPr>
      </w:pPr>
      <w:bookmarkStart w:id="13" w:name="_Toc424499120"/>
      <w:bookmarkStart w:id="14" w:name="_Toc512074769"/>
      <w:r>
        <w:rPr>
          <w:b w:val="0"/>
        </w:rPr>
        <w:t>二、</w:t>
      </w:r>
      <w:bookmarkEnd w:id="13"/>
      <w:r>
        <w:rPr>
          <w:b w:val="0"/>
        </w:rPr>
        <w:t>盘查发现</w:t>
      </w:r>
      <w:bookmarkEnd w:id="14"/>
    </w:p>
    <w:p>
      <w:pPr>
        <w:pStyle w:val="60"/>
        <w:spacing w:beforeLines="50" w:line="360" w:lineRule="auto"/>
        <w:rPr>
          <w:b w:val="0"/>
        </w:rPr>
      </w:pPr>
      <w:bookmarkStart w:id="15" w:name="_Toc424499121"/>
      <w:bookmarkStart w:id="16" w:name="_Toc423875513"/>
      <w:bookmarkStart w:id="17" w:name="_Toc512074770"/>
      <w:r>
        <w:rPr>
          <w:b w:val="0"/>
        </w:rPr>
        <w:t>2.1</w:t>
      </w:r>
      <w:bookmarkEnd w:id="15"/>
      <w:bookmarkEnd w:id="16"/>
      <w:r>
        <w:rPr>
          <w:b w:val="0"/>
        </w:rPr>
        <w:t>企业信息</w:t>
      </w:r>
      <w:bookmarkEnd w:id="17"/>
    </w:p>
    <w:p>
      <w:pPr>
        <w:pStyle w:val="60"/>
        <w:spacing w:line="360" w:lineRule="auto"/>
        <w:outlineLvl w:val="2"/>
        <w:rPr>
          <w:rFonts w:eastAsia="宋体"/>
          <w:sz w:val="24"/>
        </w:rPr>
      </w:pPr>
      <w:bookmarkStart w:id="18" w:name="_Toc512074771"/>
      <w:r>
        <w:rPr>
          <w:rFonts w:eastAsia="宋体"/>
          <w:sz w:val="24"/>
        </w:rPr>
        <w:t>2.1.1基本信息</w:t>
      </w:r>
      <w:bookmarkEnd w:id="18"/>
    </w:p>
    <w:p>
      <w:pPr>
        <w:pStyle w:val="54"/>
        <w:spacing w:beforeLines="50" w:line="360" w:lineRule="auto"/>
        <w:ind w:firstLine="0" w:firstLineChars="0"/>
        <w:jc w:val="center"/>
        <w:rPr>
          <w:b/>
          <w:sz w:val="24"/>
        </w:rPr>
      </w:pPr>
      <w:r>
        <w:rPr>
          <w:b/>
          <w:sz w:val="24"/>
        </w:rPr>
        <w:t>表3</w:t>
      </w:r>
      <w:r>
        <w:rPr>
          <w:rFonts w:hint="eastAsia"/>
          <w:b/>
          <w:sz w:val="24"/>
          <w:lang w:eastAsia="zh-CN"/>
        </w:rPr>
        <w:t>肥城金塔酒精化工设备有限公司</w:t>
      </w:r>
      <w:r>
        <w:rPr>
          <w:b/>
          <w:sz w:val="24"/>
        </w:rPr>
        <w:t>基本信息</w:t>
      </w:r>
    </w:p>
    <w:tbl>
      <w:tblPr>
        <w:tblStyle w:val="30"/>
        <w:tblW w:w="7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41"/>
        <w:gridCol w:w="1196"/>
        <w:gridCol w:w="1877"/>
        <w:gridCol w:w="939"/>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441" w:type="dxa"/>
            <w:shd w:val="clear" w:color="auto" w:fill="auto"/>
            <w:tcMar>
              <w:top w:w="15" w:type="dxa"/>
              <w:left w:w="15" w:type="dxa"/>
              <w:bottom w:w="0" w:type="dxa"/>
              <w:right w:w="15" w:type="dxa"/>
            </w:tcMar>
            <w:vAlign w:val="center"/>
          </w:tcPr>
          <w:p>
            <w:pPr>
              <w:widowControl/>
              <w:ind w:firstLine="126" w:firstLineChars="60"/>
              <w:jc w:val="left"/>
              <w:rPr>
                <w:kern w:val="0"/>
                <w:szCs w:val="21"/>
              </w:rPr>
            </w:pPr>
            <w:r>
              <w:rPr>
                <w:kern w:val="0"/>
                <w:szCs w:val="21"/>
              </w:rPr>
              <w:t>企业名称</w:t>
            </w:r>
          </w:p>
        </w:tc>
        <w:tc>
          <w:tcPr>
            <w:tcW w:w="6092" w:type="dxa"/>
            <w:gridSpan w:val="4"/>
            <w:shd w:val="clear" w:color="auto" w:fill="auto"/>
            <w:tcMar>
              <w:top w:w="15" w:type="dxa"/>
              <w:left w:w="15" w:type="dxa"/>
              <w:bottom w:w="0" w:type="dxa"/>
              <w:right w:w="15" w:type="dxa"/>
            </w:tcMar>
            <w:vAlign w:val="bottom"/>
          </w:tcPr>
          <w:p>
            <w:pPr>
              <w:widowControl/>
              <w:ind w:firstLine="126" w:firstLineChars="60"/>
              <w:jc w:val="left"/>
              <w:rPr>
                <w:rFonts w:hint="eastAsia" w:eastAsia="宋体"/>
                <w:kern w:val="0"/>
                <w:szCs w:val="21"/>
                <w:lang w:eastAsia="zh-CN"/>
              </w:rPr>
            </w:pPr>
            <w:r>
              <w:rPr>
                <w:rFonts w:hint="eastAsia"/>
                <w:kern w:val="0"/>
                <w:szCs w:val="21"/>
                <w:lang w:eastAsia="zh-CN"/>
              </w:rPr>
              <w:t>肥城金塔酒精化工设备有限公司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441" w:type="dxa"/>
            <w:shd w:val="clear" w:color="auto" w:fill="auto"/>
            <w:tcMar>
              <w:top w:w="15" w:type="dxa"/>
              <w:left w:w="15" w:type="dxa"/>
              <w:bottom w:w="0" w:type="dxa"/>
              <w:right w:w="15" w:type="dxa"/>
            </w:tcMar>
            <w:vAlign w:val="center"/>
          </w:tcPr>
          <w:p>
            <w:pPr>
              <w:widowControl/>
              <w:ind w:firstLine="126" w:firstLineChars="60"/>
              <w:jc w:val="left"/>
              <w:rPr>
                <w:kern w:val="0"/>
                <w:szCs w:val="21"/>
              </w:rPr>
            </w:pPr>
            <w:r>
              <w:rPr>
                <w:kern w:val="0"/>
                <w:szCs w:val="21"/>
              </w:rPr>
              <w:t>单位性质</w:t>
            </w:r>
          </w:p>
        </w:tc>
        <w:tc>
          <w:tcPr>
            <w:tcW w:w="6092" w:type="dxa"/>
            <w:gridSpan w:val="4"/>
            <w:shd w:val="clear" w:color="auto" w:fill="auto"/>
            <w:tcMar>
              <w:top w:w="15" w:type="dxa"/>
              <w:left w:w="15" w:type="dxa"/>
              <w:bottom w:w="0" w:type="dxa"/>
              <w:right w:w="15" w:type="dxa"/>
            </w:tcMar>
            <w:vAlign w:val="bottom"/>
          </w:tcPr>
          <w:p>
            <w:pPr>
              <w:widowControl/>
              <w:ind w:firstLine="126" w:firstLineChars="60"/>
              <w:jc w:val="left"/>
              <w:rPr>
                <w:rFonts w:hint="eastAsia" w:eastAsia="宋体"/>
                <w:kern w:val="0"/>
                <w:szCs w:val="21"/>
                <w:lang w:eastAsia="zh-CN"/>
              </w:rPr>
            </w:pPr>
            <w:r>
              <w:rPr>
                <w:rFonts w:hint="eastAsia"/>
                <w:kern w:val="0"/>
                <w:szCs w:val="21"/>
                <w:lang w:eastAsia="zh-CN"/>
              </w:rPr>
              <w:t>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441" w:type="dxa"/>
            <w:shd w:val="clear" w:color="auto" w:fill="auto"/>
            <w:tcMar>
              <w:top w:w="15" w:type="dxa"/>
              <w:left w:w="15" w:type="dxa"/>
              <w:bottom w:w="0" w:type="dxa"/>
              <w:right w:w="15" w:type="dxa"/>
            </w:tcMar>
            <w:vAlign w:val="bottom"/>
          </w:tcPr>
          <w:p>
            <w:pPr>
              <w:widowControl/>
              <w:ind w:firstLine="126" w:firstLineChars="60"/>
              <w:jc w:val="left"/>
              <w:rPr>
                <w:kern w:val="0"/>
                <w:szCs w:val="21"/>
              </w:rPr>
            </w:pPr>
            <w:r>
              <w:rPr>
                <w:kern w:val="0"/>
                <w:szCs w:val="21"/>
              </w:rPr>
              <w:t>法定代表人</w:t>
            </w:r>
          </w:p>
        </w:tc>
        <w:tc>
          <w:tcPr>
            <w:tcW w:w="6092" w:type="dxa"/>
            <w:gridSpan w:val="4"/>
            <w:shd w:val="clear" w:color="auto" w:fill="auto"/>
            <w:tcMar>
              <w:top w:w="15" w:type="dxa"/>
              <w:left w:w="15" w:type="dxa"/>
              <w:bottom w:w="0" w:type="dxa"/>
              <w:right w:w="15" w:type="dxa"/>
            </w:tcMar>
            <w:vAlign w:val="bottom"/>
          </w:tcPr>
          <w:p>
            <w:pPr>
              <w:widowControl/>
              <w:ind w:firstLine="105" w:firstLineChars="50"/>
              <w:jc w:val="left"/>
              <w:rPr>
                <w:rFonts w:hint="eastAsia" w:eastAsia="宋体"/>
                <w:kern w:val="0"/>
                <w:szCs w:val="21"/>
                <w:lang w:eastAsia="zh-CN"/>
              </w:rPr>
            </w:pPr>
            <w:r>
              <w:rPr>
                <w:rFonts w:hint="eastAsia"/>
                <w:kern w:val="0"/>
                <w:szCs w:val="21"/>
                <w:lang w:eastAsia="zh-CN"/>
              </w:rPr>
              <w:t>张继生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441" w:type="dxa"/>
            <w:shd w:val="clear" w:color="auto" w:fill="auto"/>
            <w:tcMar>
              <w:top w:w="15" w:type="dxa"/>
              <w:left w:w="15" w:type="dxa"/>
              <w:bottom w:w="0" w:type="dxa"/>
              <w:right w:w="15" w:type="dxa"/>
            </w:tcMar>
            <w:vAlign w:val="center"/>
          </w:tcPr>
          <w:p>
            <w:pPr>
              <w:widowControl/>
              <w:ind w:firstLine="126" w:firstLineChars="60"/>
              <w:jc w:val="left"/>
              <w:rPr>
                <w:kern w:val="0"/>
                <w:szCs w:val="21"/>
              </w:rPr>
            </w:pPr>
            <w:r>
              <w:rPr>
                <w:kern w:val="0"/>
                <w:szCs w:val="21"/>
              </w:rPr>
              <w:t>所属行业</w:t>
            </w:r>
          </w:p>
        </w:tc>
        <w:tc>
          <w:tcPr>
            <w:tcW w:w="6092" w:type="dxa"/>
            <w:gridSpan w:val="4"/>
            <w:shd w:val="clear" w:color="auto" w:fill="auto"/>
            <w:tcMar>
              <w:top w:w="15" w:type="dxa"/>
              <w:left w:w="15" w:type="dxa"/>
              <w:bottom w:w="0" w:type="dxa"/>
              <w:right w:w="15" w:type="dxa"/>
            </w:tcMar>
            <w:vAlign w:val="bottom"/>
          </w:tcPr>
          <w:p>
            <w:pPr>
              <w:widowControl/>
              <w:ind w:firstLine="126" w:firstLineChars="60"/>
              <w:jc w:val="left"/>
              <w:rPr>
                <w:rFonts w:hint="eastAsia" w:eastAsia="宋体"/>
                <w:kern w:val="0"/>
                <w:szCs w:val="21"/>
                <w:lang w:eastAsia="zh-CN"/>
              </w:rPr>
            </w:pPr>
            <w:r>
              <w:rPr>
                <w:rFonts w:hint="eastAsia"/>
                <w:kern w:val="0"/>
                <w:szCs w:val="21"/>
                <w:lang w:eastAsia="zh-CN"/>
              </w:rPr>
              <w:t>专用设备制造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441" w:type="dxa"/>
            <w:shd w:val="clear" w:color="auto" w:fill="auto"/>
            <w:tcMar>
              <w:top w:w="15" w:type="dxa"/>
              <w:left w:w="15" w:type="dxa"/>
              <w:bottom w:w="0" w:type="dxa"/>
              <w:right w:w="15" w:type="dxa"/>
            </w:tcMar>
            <w:vAlign w:val="center"/>
          </w:tcPr>
          <w:p>
            <w:pPr>
              <w:widowControl/>
              <w:ind w:firstLine="126" w:firstLineChars="60"/>
              <w:jc w:val="left"/>
              <w:rPr>
                <w:kern w:val="0"/>
                <w:szCs w:val="21"/>
              </w:rPr>
            </w:pPr>
            <w:r>
              <w:rPr>
                <w:kern w:val="0"/>
                <w:szCs w:val="21"/>
              </w:rPr>
              <w:t>地址</w:t>
            </w:r>
          </w:p>
        </w:tc>
        <w:tc>
          <w:tcPr>
            <w:tcW w:w="6092" w:type="dxa"/>
            <w:gridSpan w:val="4"/>
            <w:shd w:val="clear" w:color="auto" w:fill="auto"/>
            <w:tcMar>
              <w:top w:w="15" w:type="dxa"/>
              <w:left w:w="15" w:type="dxa"/>
              <w:bottom w:w="0" w:type="dxa"/>
              <w:right w:w="15" w:type="dxa"/>
            </w:tcMar>
            <w:vAlign w:val="bottom"/>
          </w:tcPr>
          <w:p>
            <w:pPr>
              <w:widowControl/>
              <w:ind w:firstLine="126" w:firstLineChars="60"/>
              <w:jc w:val="left"/>
              <w:rPr>
                <w:rFonts w:hint="default" w:eastAsia="宋体"/>
                <w:kern w:val="0"/>
                <w:szCs w:val="21"/>
                <w:lang w:val="en-US" w:eastAsia="zh-CN"/>
              </w:rPr>
            </w:pPr>
            <w:r>
              <w:rPr>
                <w:rFonts w:hint="eastAsia"/>
                <w:kern w:val="0"/>
                <w:szCs w:val="21"/>
                <w:lang w:eastAsia="zh-CN"/>
              </w:rPr>
              <w:t>肥城市高新技术产业开发区康汇大街</w:t>
            </w:r>
            <w:r>
              <w:rPr>
                <w:rFonts w:hint="eastAsia"/>
                <w:kern w:val="0"/>
                <w:szCs w:val="21"/>
                <w:lang w:val="en-US" w:eastAsia="zh-CN"/>
              </w:rPr>
              <w:t>71号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441" w:type="dxa"/>
            <w:vMerge w:val="restart"/>
            <w:shd w:val="clear" w:color="auto" w:fill="auto"/>
            <w:tcMar>
              <w:top w:w="15" w:type="dxa"/>
              <w:left w:w="15" w:type="dxa"/>
              <w:bottom w:w="0" w:type="dxa"/>
              <w:right w:w="15" w:type="dxa"/>
            </w:tcMar>
            <w:vAlign w:val="center"/>
          </w:tcPr>
          <w:p>
            <w:pPr>
              <w:widowControl/>
              <w:ind w:firstLine="126" w:firstLineChars="60"/>
              <w:jc w:val="left"/>
              <w:rPr>
                <w:kern w:val="0"/>
                <w:szCs w:val="21"/>
              </w:rPr>
            </w:pPr>
            <w:r>
              <w:rPr>
                <w:kern w:val="0"/>
                <w:szCs w:val="21"/>
              </w:rPr>
              <w:t>填报负责人</w:t>
            </w:r>
          </w:p>
        </w:tc>
        <w:tc>
          <w:tcPr>
            <w:tcW w:w="1196" w:type="dxa"/>
            <w:shd w:val="clear" w:color="auto" w:fill="auto"/>
            <w:tcMar>
              <w:top w:w="15" w:type="dxa"/>
              <w:left w:w="15" w:type="dxa"/>
              <w:bottom w:w="0" w:type="dxa"/>
              <w:right w:w="15" w:type="dxa"/>
            </w:tcMar>
            <w:vAlign w:val="bottom"/>
          </w:tcPr>
          <w:p>
            <w:pPr>
              <w:widowControl/>
              <w:ind w:firstLine="126" w:firstLineChars="60"/>
              <w:jc w:val="left"/>
              <w:rPr>
                <w:kern w:val="0"/>
                <w:szCs w:val="21"/>
              </w:rPr>
            </w:pPr>
            <w:r>
              <w:rPr>
                <w:kern w:val="0"/>
                <w:szCs w:val="21"/>
              </w:rPr>
              <w:t>姓名</w:t>
            </w:r>
          </w:p>
        </w:tc>
        <w:tc>
          <w:tcPr>
            <w:tcW w:w="1877" w:type="dxa"/>
            <w:shd w:val="clear" w:color="auto" w:fill="auto"/>
            <w:tcMar>
              <w:top w:w="15" w:type="dxa"/>
              <w:left w:w="15" w:type="dxa"/>
              <w:bottom w:w="0" w:type="dxa"/>
              <w:right w:w="15" w:type="dxa"/>
            </w:tcMar>
            <w:vAlign w:val="bottom"/>
          </w:tcPr>
          <w:p>
            <w:pPr>
              <w:widowControl/>
              <w:jc w:val="left"/>
              <w:rPr>
                <w:rFonts w:hint="eastAsia" w:eastAsia="宋体"/>
                <w:kern w:val="0"/>
                <w:szCs w:val="21"/>
                <w:lang w:eastAsia="zh-CN"/>
              </w:rPr>
            </w:pPr>
            <w:r>
              <w:rPr>
                <w:rFonts w:hint="eastAsia"/>
                <w:kern w:val="0"/>
                <w:szCs w:val="21"/>
                <w:lang w:eastAsia="zh-CN"/>
              </w:rPr>
              <w:t>张铭涛</w:t>
            </w:r>
          </w:p>
        </w:tc>
        <w:tc>
          <w:tcPr>
            <w:tcW w:w="939" w:type="dxa"/>
            <w:shd w:val="clear" w:color="auto" w:fill="auto"/>
            <w:tcMar>
              <w:top w:w="15" w:type="dxa"/>
              <w:left w:w="15" w:type="dxa"/>
              <w:bottom w:w="0" w:type="dxa"/>
              <w:right w:w="15" w:type="dxa"/>
            </w:tcMar>
            <w:vAlign w:val="bottom"/>
          </w:tcPr>
          <w:p>
            <w:pPr>
              <w:widowControl/>
              <w:ind w:firstLine="126" w:firstLineChars="60"/>
              <w:jc w:val="left"/>
              <w:rPr>
                <w:kern w:val="0"/>
                <w:szCs w:val="21"/>
              </w:rPr>
            </w:pPr>
            <w:r>
              <w:rPr>
                <w:kern w:val="0"/>
                <w:szCs w:val="21"/>
              </w:rPr>
              <w:t>职务</w:t>
            </w:r>
          </w:p>
        </w:tc>
        <w:tc>
          <w:tcPr>
            <w:tcW w:w="2080" w:type="dxa"/>
            <w:shd w:val="clear" w:color="auto" w:fill="auto"/>
            <w:tcMar>
              <w:top w:w="15" w:type="dxa"/>
              <w:left w:w="15" w:type="dxa"/>
              <w:bottom w:w="0" w:type="dxa"/>
              <w:right w:w="15" w:type="dxa"/>
            </w:tcMar>
            <w:vAlign w:val="bottom"/>
          </w:tcPr>
          <w:p>
            <w:pPr>
              <w:widowControl/>
              <w:jc w:val="left"/>
              <w:rPr>
                <w:rFonts w:hint="eastAsia" w:eastAsia="宋体"/>
                <w:kern w:val="0"/>
                <w:szCs w:val="21"/>
                <w:lang w:eastAsia="zh-CN"/>
              </w:rPr>
            </w:pPr>
            <w:r>
              <w:rPr>
                <w:rFonts w:hint="eastAsia"/>
                <w:kern w:val="0"/>
                <w:szCs w:val="21"/>
                <w:lang w:eastAsia="zh-CN"/>
              </w:rPr>
              <w:t>主任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441" w:type="dxa"/>
            <w:vMerge w:val="continue"/>
            <w:vAlign w:val="center"/>
          </w:tcPr>
          <w:p>
            <w:pPr>
              <w:widowControl/>
              <w:ind w:firstLine="126" w:firstLineChars="60"/>
              <w:jc w:val="left"/>
              <w:rPr>
                <w:kern w:val="0"/>
                <w:szCs w:val="21"/>
              </w:rPr>
            </w:pPr>
          </w:p>
        </w:tc>
        <w:tc>
          <w:tcPr>
            <w:tcW w:w="1196" w:type="dxa"/>
            <w:shd w:val="clear" w:color="auto" w:fill="auto"/>
            <w:tcMar>
              <w:top w:w="15" w:type="dxa"/>
              <w:left w:w="15" w:type="dxa"/>
              <w:bottom w:w="0" w:type="dxa"/>
              <w:right w:w="15" w:type="dxa"/>
            </w:tcMar>
            <w:vAlign w:val="bottom"/>
          </w:tcPr>
          <w:p>
            <w:pPr>
              <w:widowControl/>
              <w:ind w:firstLine="126" w:firstLineChars="60"/>
              <w:jc w:val="left"/>
              <w:rPr>
                <w:kern w:val="0"/>
                <w:szCs w:val="21"/>
              </w:rPr>
            </w:pPr>
            <w:r>
              <w:rPr>
                <w:kern w:val="0"/>
                <w:szCs w:val="21"/>
              </w:rPr>
              <w:t>电话</w:t>
            </w:r>
          </w:p>
        </w:tc>
        <w:tc>
          <w:tcPr>
            <w:tcW w:w="1877" w:type="dxa"/>
            <w:shd w:val="clear" w:color="auto" w:fill="auto"/>
            <w:tcMar>
              <w:top w:w="15" w:type="dxa"/>
              <w:left w:w="15" w:type="dxa"/>
              <w:bottom w:w="0" w:type="dxa"/>
              <w:right w:w="15" w:type="dxa"/>
            </w:tcMar>
            <w:vAlign w:val="bottom"/>
          </w:tcPr>
          <w:p>
            <w:pPr>
              <w:widowControl/>
              <w:jc w:val="left"/>
              <w:rPr>
                <w:rFonts w:hint="default" w:eastAsia="宋体"/>
                <w:kern w:val="0"/>
                <w:szCs w:val="21"/>
                <w:lang w:val="en-US" w:eastAsia="zh-CN"/>
              </w:rPr>
            </w:pPr>
            <w:r>
              <w:rPr>
                <w:rFonts w:hint="eastAsia"/>
                <w:kern w:val="0"/>
                <w:szCs w:val="21"/>
                <w:lang w:val="en-US" w:eastAsia="zh-CN"/>
              </w:rPr>
              <w:t>0538-3391168</w:t>
            </w:r>
          </w:p>
        </w:tc>
        <w:tc>
          <w:tcPr>
            <w:tcW w:w="939" w:type="dxa"/>
            <w:shd w:val="clear" w:color="auto" w:fill="auto"/>
            <w:tcMar>
              <w:top w:w="15" w:type="dxa"/>
              <w:left w:w="15" w:type="dxa"/>
              <w:bottom w:w="0" w:type="dxa"/>
              <w:right w:w="15" w:type="dxa"/>
            </w:tcMar>
            <w:vAlign w:val="bottom"/>
          </w:tcPr>
          <w:p>
            <w:pPr>
              <w:widowControl/>
              <w:ind w:firstLine="126" w:firstLineChars="60"/>
              <w:jc w:val="left"/>
              <w:rPr>
                <w:kern w:val="0"/>
                <w:szCs w:val="21"/>
              </w:rPr>
            </w:pPr>
            <w:r>
              <w:rPr>
                <w:kern w:val="0"/>
                <w:szCs w:val="21"/>
              </w:rPr>
              <w:t>邮箱</w:t>
            </w:r>
          </w:p>
        </w:tc>
        <w:tc>
          <w:tcPr>
            <w:tcW w:w="2080" w:type="dxa"/>
            <w:shd w:val="clear" w:color="auto" w:fill="auto"/>
            <w:tcMar>
              <w:top w:w="15" w:type="dxa"/>
              <w:left w:w="15" w:type="dxa"/>
              <w:bottom w:w="0" w:type="dxa"/>
              <w:right w:w="15" w:type="dxa"/>
            </w:tcMar>
            <w:vAlign w:val="bottom"/>
          </w:tcPr>
          <w:p>
            <w:pPr>
              <w:widowControl/>
              <w:jc w:val="left"/>
              <w:rPr>
                <w:rFonts w:hint="default" w:eastAsia="宋体"/>
                <w:kern w:val="0"/>
                <w:szCs w:val="21"/>
                <w:lang w:val="en-US" w:eastAsia="zh-CN"/>
              </w:rPr>
            </w:pPr>
            <w:r>
              <w:rPr>
                <w:rFonts w:hint="eastAsia"/>
                <w:kern w:val="0"/>
                <w:szCs w:val="21"/>
                <w:lang w:val="en-US" w:eastAsia="zh-CN"/>
              </w:rPr>
              <w:t>ljtu@qq.com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441" w:type="dxa"/>
            <w:vMerge w:val="restart"/>
            <w:shd w:val="clear" w:color="auto" w:fill="auto"/>
            <w:tcMar>
              <w:top w:w="15" w:type="dxa"/>
              <w:left w:w="15" w:type="dxa"/>
              <w:bottom w:w="0" w:type="dxa"/>
              <w:right w:w="15" w:type="dxa"/>
            </w:tcMar>
            <w:vAlign w:val="center"/>
          </w:tcPr>
          <w:p>
            <w:pPr>
              <w:widowControl/>
              <w:ind w:firstLine="126" w:firstLineChars="60"/>
              <w:jc w:val="left"/>
              <w:rPr>
                <w:kern w:val="0"/>
                <w:szCs w:val="21"/>
              </w:rPr>
            </w:pPr>
            <w:r>
              <w:rPr>
                <w:kern w:val="0"/>
                <w:szCs w:val="21"/>
              </w:rPr>
              <w:t>联系人</w:t>
            </w:r>
          </w:p>
        </w:tc>
        <w:tc>
          <w:tcPr>
            <w:tcW w:w="1196" w:type="dxa"/>
            <w:shd w:val="clear" w:color="auto" w:fill="auto"/>
            <w:tcMar>
              <w:top w:w="15" w:type="dxa"/>
              <w:left w:w="15" w:type="dxa"/>
              <w:bottom w:w="0" w:type="dxa"/>
              <w:right w:w="15" w:type="dxa"/>
            </w:tcMar>
            <w:vAlign w:val="bottom"/>
          </w:tcPr>
          <w:p>
            <w:pPr>
              <w:widowControl/>
              <w:ind w:firstLine="126" w:firstLineChars="60"/>
              <w:jc w:val="left"/>
              <w:rPr>
                <w:kern w:val="0"/>
                <w:szCs w:val="21"/>
              </w:rPr>
            </w:pPr>
            <w:r>
              <w:rPr>
                <w:kern w:val="0"/>
                <w:szCs w:val="21"/>
              </w:rPr>
              <w:t>姓名</w:t>
            </w:r>
          </w:p>
        </w:tc>
        <w:tc>
          <w:tcPr>
            <w:tcW w:w="1877" w:type="dxa"/>
            <w:shd w:val="clear" w:color="auto" w:fill="auto"/>
            <w:tcMar>
              <w:top w:w="15" w:type="dxa"/>
              <w:left w:w="15" w:type="dxa"/>
              <w:bottom w:w="0" w:type="dxa"/>
              <w:right w:w="15" w:type="dxa"/>
            </w:tcMar>
            <w:vAlign w:val="bottom"/>
          </w:tcPr>
          <w:p>
            <w:pPr>
              <w:widowControl/>
              <w:jc w:val="left"/>
              <w:rPr>
                <w:rFonts w:hint="eastAsia" w:eastAsia="宋体"/>
                <w:kern w:val="0"/>
                <w:szCs w:val="21"/>
                <w:lang w:eastAsia="zh-CN"/>
              </w:rPr>
            </w:pPr>
            <w:r>
              <w:rPr>
                <w:rFonts w:hint="eastAsia"/>
                <w:kern w:val="0"/>
                <w:szCs w:val="21"/>
                <w:lang w:eastAsia="zh-CN"/>
              </w:rPr>
              <w:t>刘英云</w:t>
            </w:r>
          </w:p>
        </w:tc>
        <w:tc>
          <w:tcPr>
            <w:tcW w:w="939" w:type="dxa"/>
            <w:shd w:val="clear" w:color="auto" w:fill="auto"/>
            <w:tcMar>
              <w:top w:w="15" w:type="dxa"/>
              <w:left w:w="15" w:type="dxa"/>
              <w:bottom w:w="0" w:type="dxa"/>
              <w:right w:w="15" w:type="dxa"/>
            </w:tcMar>
            <w:vAlign w:val="bottom"/>
          </w:tcPr>
          <w:p>
            <w:pPr>
              <w:widowControl/>
              <w:ind w:firstLine="126" w:firstLineChars="60"/>
              <w:jc w:val="left"/>
              <w:rPr>
                <w:kern w:val="0"/>
                <w:szCs w:val="21"/>
              </w:rPr>
            </w:pPr>
            <w:r>
              <w:rPr>
                <w:kern w:val="0"/>
                <w:szCs w:val="21"/>
              </w:rPr>
              <w:t>职务</w:t>
            </w:r>
          </w:p>
        </w:tc>
        <w:tc>
          <w:tcPr>
            <w:tcW w:w="2080" w:type="dxa"/>
            <w:shd w:val="clear" w:color="auto" w:fill="auto"/>
            <w:tcMar>
              <w:top w:w="15" w:type="dxa"/>
              <w:left w:w="15" w:type="dxa"/>
              <w:bottom w:w="0" w:type="dxa"/>
              <w:right w:w="15" w:type="dxa"/>
            </w:tcMar>
            <w:vAlign w:val="bottom"/>
          </w:tcPr>
          <w:p>
            <w:pPr>
              <w:widowControl/>
              <w:jc w:val="left"/>
              <w:rPr>
                <w:rFonts w:hint="eastAsia" w:eastAsia="宋体"/>
                <w:kern w:val="0"/>
                <w:szCs w:val="21"/>
                <w:lang w:eastAsia="zh-CN"/>
              </w:rPr>
            </w:pPr>
            <w:r>
              <w:rPr>
                <w:rFonts w:hint="eastAsia"/>
                <w:kern w:val="0"/>
                <w:szCs w:val="21"/>
                <w:lang w:eastAsia="zh-CN"/>
              </w:rPr>
              <w:t>副总经理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441" w:type="dxa"/>
            <w:vMerge w:val="continue"/>
            <w:vAlign w:val="center"/>
          </w:tcPr>
          <w:p>
            <w:pPr>
              <w:widowControl/>
              <w:ind w:firstLine="126" w:firstLineChars="60"/>
              <w:jc w:val="left"/>
              <w:rPr>
                <w:kern w:val="0"/>
                <w:szCs w:val="21"/>
              </w:rPr>
            </w:pPr>
          </w:p>
        </w:tc>
        <w:tc>
          <w:tcPr>
            <w:tcW w:w="1196" w:type="dxa"/>
            <w:shd w:val="clear" w:color="auto" w:fill="auto"/>
            <w:tcMar>
              <w:top w:w="15" w:type="dxa"/>
              <w:left w:w="15" w:type="dxa"/>
              <w:bottom w:w="0" w:type="dxa"/>
              <w:right w:w="15" w:type="dxa"/>
            </w:tcMar>
            <w:vAlign w:val="bottom"/>
          </w:tcPr>
          <w:p>
            <w:pPr>
              <w:widowControl/>
              <w:ind w:firstLine="126" w:firstLineChars="60"/>
              <w:jc w:val="left"/>
              <w:rPr>
                <w:kern w:val="0"/>
                <w:szCs w:val="21"/>
              </w:rPr>
            </w:pPr>
            <w:r>
              <w:rPr>
                <w:kern w:val="0"/>
                <w:szCs w:val="21"/>
              </w:rPr>
              <w:t>电话</w:t>
            </w:r>
          </w:p>
        </w:tc>
        <w:tc>
          <w:tcPr>
            <w:tcW w:w="1877" w:type="dxa"/>
            <w:shd w:val="clear" w:color="auto" w:fill="auto"/>
            <w:tcMar>
              <w:top w:w="15" w:type="dxa"/>
              <w:left w:w="15" w:type="dxa"/>
              <w:bottom w:w="0" w:type="dxa"/>
              <w:right w:w="15" w:type="dxa"/>
            </w:tcMar>
            <w:vAlign w:val="bottom"/>
          </w:tcPr>
          <w:p>
            <w:pPr>
              <w:widowControl/>
              <w:jc w:val="left"/>
              <w:rPr>
                <w:rFonts w:hint="default" w:eastAsia="宋体"/>
                <w:kern w:val="0"/>
                <w:szCs w:val="21"/>
                <w:lang w:val="en-US" w:eastAsia="zh-CN"/>
              </w:rPr>
            </w:pPr>
            <w:r>
              <w:rPr>
                <w:rFonts w:hint="eastAsia"/>
                <w:kern w:val="0"/>
                <w:szCs w:val="21"/>
                <w:lang w:val="en-US" w:eastAsia="zh-CN"/>
              </w:rPr>
              <w:t>0538-3368116</w:t>
            </w:r>
          </w:p>
        </w:tc>
        <w:tc>
          <w:tcPr>
            <w:tcW w:w="939" w:type="dxa"/>
            <w:shd w:val="clear" w:color="auto" w:fill="auto"/>
            <w:tcMar>
              <w:top w:w="15" w:type="dxa"/>
              <w:left w:w="15" w:type="dxa"/>
              <w:bottom w:w="0" w:type="dxa"/>
              <w:right w:w="15" w:type="dxa"/>
            </w:tcMar>
            <w:vAlign w:val="bottom"/>
          </w:tcPr>
          <w:p>
            <w:pPr>
              <w:widowControl/>
              <w:ind w:firstLine="126" w:firstLineChars="60"/>
              <w:jc w:val="left"/>
              <w:rPr>
                <w:kern w:val="0"/>
                <w:szCs w:val="21"/>
              </w:rPr>
            </w:pPr>
            <w:r>
              <w:rPr>
                <w:kern w:val="0"/>
                <w:szCs w:val="21"/>
              </w:rPr>
              <w:t>邮箱</w:t>
            </w:r>
          </w:p>
        </w:tc>
        <w:tc>
          <w:tcPr>
            <w:tcW w:w="2080" w:type="dxa"/>
            <w:shd w:val="clear" w:color="auto" w:fill="auto"/>
            <w:tcMar>
              <w:top w:w="15" w:type="dxa"/>
              <w:left w:w="15" w:type="dxa"/>
              <w:bottom w:w="0" w:type="dxa"/>
              <w:right w:w="15" w:type="dxa"/>
            </w:tcMar>
            <w:vAlign w:val="bottom"/>
          </w:tcPr>
          <w:p>
            <w:pPr>
              <w:widowControl/>
              <w:jc w:val="left"/>
              <w:rPr>
                <w:rFonts w:hint="default" w:eastAsia="宋体"/>
                <w:kern w:val="0"/>
                <w:szCs w:val="21"/>
                <w:lang w:val="en-US" w:eastAsia="zh-CN"/>
              </w:rPr>
            </w:pPr>
            <w:r>
              <w:rPr>
                <w:rFonts w:hint="eastAsia"/>
                <w:kern w:val="0"/>
                <w:szCs w:val="21"/>
                <w:lang w:val="en-US" w:eastAsia="zh-CN"/>
              </w:rPr>
              <w:t>fchlyy@126.com</w:t>
            </w:r>
          </w:p>
        </w:tc>
      </w:tr>
    </w:tbl>
    <w:p>
      <w:pPr>
        <w:pStyle w:val="45"/>
        <w:spacing w:line="360" w:lineRule="auto"/>
        <w:ind w:firstLine="480"/>
        <w:jc w:val="left"/>
        <w:rPr>
          <w:rFonts w:ascii="Times New Roman"/>
          <w:sz w:val="24"/>
        </w:rPr>
      </w:pPr>
    </w:p>
    <w:p>
      <w:pPr>
        <w:pStyle w:val="60"/>
        <w:spacing w:line="360" w:lineRule="auto"/>
        <w:outlineLvl w:val="2"/>
        <w:rPr>
          <w:rFonts w:eastAsia="宋体"/>
          <w:sz w:val="24"/>
        </w:rPr>
      </w:pPr>
      <w:bookmarkStart w:id="19" w:name="_Toc512074772"/>
      <w:r>
        <w:rPr>
          <w:rFonts w:eastAsia="宋体"/>
          <w:sz w:val="24"/>
        </w:rPr>
        <w:t>2.1.2企业产品及工艺流程</w:t>
      </w:r>
      <w:bookmarkEnd w:id="19"/>
    </w:p>
    <w:p>
      <w:pPr>
        <w:pStyle w:val="45"/>
        <w:spacing w:line="360" w:lineRule="auto"/>
        <w:ind w:firstLine="480"/>
        <w:rPr>
          <w:rFonts w:hint="eastAsia" w:ascii="Times New Roman" w:eastAsia="宋体"/>
          <w:sz w:val="24"/>
          <w:szCs w:val="24"/>
          <w:lang w:eastAsia="zh-CN"/>
        </w:rPr>
      </w:pPr>
      <w:r>
        <w:rPr>
          <w:rFonts w:ascii="Times New Roman"/>
          <w:sz w:val="24"/>
          <w:szCs w:val="24"/>
        </w:rPr>
        <w:t>企业生产的主要产品为</w:t>
      </w:r>
      <w:r>
        <w:rPr>
          <w:rFonts w:hint="eastAsia" w:ascii="Times New Roman"/>
          <w:sz w:val="24"/>
          <w:szCs w:val="24"/>
          <w:lang w:eastAsia="zh-CN"/>
        </w:rPr>
        <w:t>塔器、换热器、罐类。</w:t>
      </w:r>
    </w:p>
    <w:p>
      <w:pPr>
        <w:pStyle w:val="45"/>
        <w:numPr>
          <w:ilvl w:val="0"/>
          <w:numId w:val="3"/>
        </w:numPr>
        <w:spacing w:beforeLines="50" w:afterLines="50" w:line="360" w:lineRule="auto"/>
        <w:ind w:firstLineChars="0"/>
        <w:rPr>
          <w:rFonts w:ascii="Times New Roman"/>
          <w:b/>
          <w:sz w:val="24"/>
        </w:rPr>
      </w:pPr>
      <w:r>
        <w:rPr>
          <w:rFonts w:ascii="Times New Roman"/>
          <w:b/>
          <w:sz w:val="24"/>
        </w:rPr>
        <w:t>生产工艺流程</w:t>
      </w:r>
    </w:p>
    <w:tbl>
      <w:tblPr>
        <w:tblStyle w:val="30"/>
        <w:tblW w:w="10800" w:type="dxa"/>
        <w:tblInd w:w="0" w:type="dxa"/>
        <w:shd w:val="clear" w:color="auto" w:fill="auto"/>
        <w:tblLayout w:type="autofit"/>
        <w:tblCellMar>
          <w:top w:w="0" w:type="dxa"/>
          <w:left w:w="0" w:type="dxa"/>
          <w:bottom w:w="0" w:type="dxa"/>
          <w:right w:w="0" w:type="dxa"/>
        </w:tblCellMar>
      </w:tblPr>
      <w:tblGrid>
        <w:gridCol w:w="1486"/>
        <w:gridCol w:w="898"/>
        <w:gridCol w:w="767"/>
        <w:gridCol w:w="898"/>
        <w:gridCol w:w="1486"/>
        <w:gridCol w:w="898"/>
        <w:gridCol w:w="1127"/>
        <w:gridCol w:w="1080"/>
        <w:gridCol w:w="1080"/>
        <w:gridCol w:w="1080"/>
      </w:tblGrid>
      <w:tr>
        <w:tblPrEx>
          <w:shd w:val="clear" w:color="auto" w:fill="auto"/>
          <w:tblCellMar>
            <w:top w:w="0" w:type="dxa"/>
            <w:left w:w="0" w:type="dxa"/>
            <w:bottom w:w="0" w:type="dxa"/>
            <w:right w:w="0" w:type="dxa"/>
          </w:tblCellMar>
        </w:tblPrEx>
        <w:trPr>
          <w:trHeight w:val="900" w:hRule="atLeast"/>
        </w:trPr>
        <w:tc>
          <w:tcPr>
            <w:tcW w:w="7560" w:type="dxa"/>
            <w:gridSpan w:val="7"/>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32"/>
                <w:szCs w:val="32"/>
                <w:u w:val="none"/>
              </w:rPr>
            </w:pPr>
            <w:r>
              <w:rPr>
                <w:rFonts w:hint="eastAsia" w:ascii="宋体" w:hAnsi="宋体" w:eastAsia="宋体" w:cs="宋体"/>
                <w:i w:val="0"/>
                <w:color w:val="000000"/>
                <w:kern w:val="0"/>
                <w:sz w:val="32"/>
                <w:szCs w:val="32"/>
                <w:u w:val="none"/>
                <w:lang w:val="en-US" w:eastAsia="zh-CN" w:bidi="ar"/>
              </w:rPr>
              <w:t>塔器制作工艺流程简图</w:t>
            </w:r>
          </w:p>
        </w:tc>
        <w:tc>
          <w:tcPr>
            <w:tcW w:w="1080"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080"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080"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27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钢板下料</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卷板</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对接</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成型</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90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入库</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检验</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内件组装</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焊接</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93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gridSpan w:val="7"/>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32"/>
                <w:szCs w:val="32"/>
                <w:u w:val="none"/>
              </w:rPr>
            </w:pPr>
            <w:r>
              <w:rPr>
                <w:rFonts w:hint="eastAsia" w:ascii="宋体" w:hAnsi="宋体" w:eastAsia="宋体" w:cs="宋体"/>
                <w:i w:val="0"/>
                <w:color w:val="000000"/>
                <w:kern w:val="0"/>
                <w:sz w:val="32"/>
                <w:szCs w:val="32"/>
                <w:u w:val="none"/>
                <w:lang w:val="en-US" w:eastAsia="zh-CN" w:bidi="ar"/>
              </w:rPr>
              <w:t>换热器制作工艺流程简图</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33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钢板下料</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卷板</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对接</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成型</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焊接</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入库</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检验</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附件组装</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焊管子</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穿管子</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1275"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gridSpan w:val="7"/>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32"/>
                <w:szCs w:val="32"/>
                <w:u w:val="none"/>
              </w:rPr>
            </w:pPr>
            <w:r>
              <w:rPr>
                <w:rFonts w:hint="eastAsia" w:ascii="宋体" w:hAnsi="宋体" w:eastAsia="宋体" w:cs="宋体"/>
                <w:i w:val="0"/>
                <w:color w:val="000000"/>
                <w:kern w:val="0"/>
                <w:sz w:val="32"/>
                <w:szCs w:val="32"/>
                <w:u w:val="none"/>
                <w:lang w:val="en-US" w:eastAsia="zh-CN" w:bidi="ar"/>
              </w:rPr>
              <w:t>罐类制作工艺流程简图</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5"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钢板下料</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卷板</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对接</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52"/>
                <w:szCs w:val="52"/>
                <w:u w:val="none"/>
              </w:rPr>
            </w:pPr>
            <w:r>
              <w:rPr>
                <w:rFonts w:hint="eastAsia" w:ascii="宋体" w:hAnsi="宋体" w:eastAsia="宋体" w:cs="宋体"/>
                <w:i w:val="0"/>
                <w:color w:val="000000"/>
                <w:kern w:val="0"/>
                <w:sz w:val="52"/>
                <w:szCs w:val="5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成型</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入库</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检验</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附件组装</w:t>
            </w: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4"/>
                <w:szCs w:val="44"/>
                <w:u w:val="none"/>
              </w:rPr>
            </w:pPr>
            <w:r>
              <w:rPr>
                <w:rFonts w:hint="eastAsia" w:ascii="宋体" w:hAnsi="宋体" w:eastAsia="宋体" w:cs="宋体"/>
                <w:i w:val="0"/>
                <w:color w:val="000000"/>
                <w:kern w:val="0"/>
                <w:sz w:val="44"/>
                <w:szCs w:val="44"/>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焊接</w:t>
            </w: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69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bl>
    <w:p>
      <w:pPr>
        <w:pStyle w:val="45"/>
        <w:numPr>
          <w:ilvl w:val="0"/>
          <w:numId w:val="0"/>
        </w:numPr>
        <w:spacing w:beforeLines="50" w:afterLines="50" w:line="360" w:lineRule="auto"/>
        <w:ind w:leftChars="0"/>
        <w:rPr>
          <w:rFonts w:ascii="Times New Roman"/>
          <w:b/>
          <w:sz w:val="24"/>
        </w:rPr>
      </w:pPr>
    </w:p>
    <w:p>
      <w:pPr>
        <w:pStyle w:val="45"/>
        <w:spacing w:beforeLines="50" w:afterLines="50" w:line="360" w:lineRule="auto"/>
        <w:ind w:firstLine="0" w:firstLineChars="0"/>
        <w:rPr>
          <w:rFonts w:ascii="Times New Roman"/>
          <w:sz w:val="24"/>
          <w:szCs w:val="24"/>
          <w:highlight w:val="yellow"/>
        </w:rPr>
      </w:pPr>
    </w:p>
    <w:p>
      <w:pPr>
        <w:pStyle w:val="45"/>
        <w:spacing w:beforeLines="50" w:afterLines="50" w:line="360" w:lineRule="auto"/>
        <w:ind w:firstLine="0" w:firstLineChars="0"/>
        <w:jc w:val="center"/>
        <w:rPr>
          <w:rFonts w:ascii="Times New Roman"/>
          <w:b/>
          <w:sz w:val="24"/>
        </w:rPr>
      </w:pPr>
      <w:r>
        <w:rPr>
          <w:rFonts w:ascii="Times New Roman"/>
          <w:b/>
          <w:sz w:val="24"/>
        </w:rPr>
        <w:t xml:space="preserve">图1 </w:t>
      </w:r>
      <w:r>
        <w:rPr>
          <w:rFonts w:hint="eastAsia" w:ascii="Times New Roman"/>
          <w:b/>
          <w:sz w:val="24"/>
          <w:lang w:eastAsia="zh-CN"/>
        </w:rPr>
        <w:t>肥城金塔酒精化工设备有限公司</w:t>
      </w:r>
      <w:r>
        <w:rPr>
          <w:rFonts w:ascii="Times New Roman"/>
          <w:b/>
          <w:sz w:val="24"/>
        </w:rPr>
        <w:t>工艺流程图</w:t>
      </w:r>
    </w:p>
    <w:p>
      <w:pPr>
        <w:pStyle w:val="45"/>
        <w:spacing w:beforeLines="50" w:afterLines="50" w:line="360" w:lineRule="auto"/>
        <w:ind w:firstLine="0" w:firstLineChars="0"/>
        <w:rPr>
          <w:rFonts w:ascii="Times New Roman"/>
          <w:b/>
          <w:sz w:val="24"/>
        </w:rPr>
      </w:pPr>
      <w:r>
        <w:rPr>
          <w:rFonts w:ascii="Times New Roman"/>
          <w:b/>
          <w:sz w:val="24"/>
        </w:rPr>
        <w:t>（2）设备信息</w:t>
      </w:r>
    </w:p>
    <w:p>
      <w:pPr>
        <w:pStyle w:val="45"/>
        <w:spacing w:line="360" w:lineRule="auto"/>
        <w:ind w:firstLine="480"/>
        <w:rPr>
          <w:rFonts w:ascii="Times New Roman"/>
          <w:sz w:val="24"/>
        </w:rPr>
        <w:sectPr>
          <w:headerReference r:id="rId6" w:type="default"/>
          <w:footerReference r:id="rId8" w:type="default"/>
          <w:headerReference r:id="rId7" w:type="even"/>
          <w:footerReference r:id="rId9" w:type="even"/>
          <w:pgSz w:w="11906" w:h="16838"/>
          <w:pgMar w:top="1440" w:right="1800" w:bottom="1440" w:left="1800" w:header="850" w:footer="992" w:gutter="0"/>
          <w:pgNumType w:fmt="numberInDash" w:start="1"/>
          <w:cols w:space="425" w:num="1"/>
          <w:docGrid w:type="lines" w:linePitch="312" w:charSpace="0"/>
        </w:sectPr>
      </w:pPr>
      <w:r>
        <w:rPr>
          <w:rFonts w:ascii="Times New Roman"/>
          <w:sz w:val="24"/>
        </w:rPr>
        <w:t>企业现有主要燃烧设备及相关参数如表</w:t>
      </w:r>
      <w:r>
        <w:rPr>
          <w:rFonts w:hint="eastAsia" w:ascii="Times New Roman"/>
          <w:sz w:val="24"/>
        </w:rPr>
        <w:t>4</w:t>
      </w:r>
      <w:r>
        <w:rPr>
          <w:rFonts w:ascii="Times New Roman"/>
          <w:sz w:val="24"/>
        </w:rPr>
        <w:t>所示：</w:t>
      </w:r>
    </w:p>
    <w:p>
      <w:pPr>
        <w:pStyle w:val="54"/>
        <w:spacing w:beforeLines="50" w:line="360" w:lineRule="auto"/>
        <w:ind w:firstLine="0" w:firstLineChars="0"/>
        <w:jc w:val="center"/>
        <w:rPr>
          <w:b/>
          <w:sz w:val="24"/>
        </w:rPr>
      </w:pPr>
      <w:r>
        <w:rPr>
          <w:b/>
          <w:sz w:val="24"/>
        </w:rPr>
        <w:t xml:space="preserve">表4 </w:t>
      </w:r>
      <w:r>
        <w:rPr>
          <w:rFonts w:hint="eastAsia"/>
          <w:b/>
          <w:sz w:val="24"/>
          <w:lang w:eastAsia="zh-CN"/>
        </w:rPr>
        <w:t>肥城金塔酒精化工设备有限公司</w:t>
      </w:r>
      <w:r>
        <w:rPr>
          <w:b/>
          <w:sz w:val="24"/>
        </w:rPr>
        <w:t>主要设备信息汇总表</w:t>
      </w:r>
    </w:p>
    <w:p>
      <w:pPr>
        <w:spacing w:beforeLines="50" w:afterLines="50"/>
        <w:rPr>
          <w:rFonts w:hint="default" w:eastAsia="宋体"/>
          <w:b/>
          <w:kern w:val="0"/>
          <w:sz w:val="24"/>
          <w:szCs w:val="20"/>
          <w:lang w:val="en-US" w:eastAsia="zh-CN"/>
        </w:rPr>
      </w:pPr>
      <w:r>
        <w:rPr>
          <w:b/>
          <w:kern w:val="0"/>
          <w:sz w:val="24"/>
          <w:szCs w:val="20"/>
        </w:rPr>
        <w:tab/>
      </w:r>
      <w:r>
        <w:rPr>
          <w:rFonts w:hint="eastAsia"/>
          <w:b/>
          <w:kern w:val="0"/>
          <w:sz w:val="24"/>
          <w:szCs w:val="20"/>
          <w:lang w:val="en-US" w:eastAsia="zh-CN"/>
        </w:rPr>
        <w:t xml:space="preserve">  </w:t>
      </w:r>
    </w:p>
    <w:tbl>
      <w:tblPr>
        <w:tblStyle w:val="30"/>
        <w:tblW w:w="11880" w:type="dxa"/>
        <w:tblInd w:w="0" w:type="dxa"/>
        <w:shd w:val="clear" w:color="auto" w:fill="auto"/>
        <w:tblLayout w:type="autofit"/>
        <w:tblCellMar>
          <w:top w:w="0" w:type="dxa"/>
          <w:left w:w="0" w:type="dxa"/>
          <w:bottom w:w="0" w:type="dxa"/>
          <w:right w:w="0" w:type="dxa"/>
        </w:tblCellMar>
      </w:tblPr>
      <w:tblGrid>
        <w:gridCol w:w="570"/>
        <w:gridCol w:w="2265"/>
        <w:gridCol w:w="2055"/>
        <w:gridCol w:w="675"/>
        <w:gridCol w:w="4080"/>
        <w:gridCol w:w="1320"/>
        <w:gridCol w:w="915"/>
      </w:tblGrid>
      <w:tr>
        <w:tblPrEx>
          <w:shd w:val="clear" w:color="auto" w:fill="auto"/>
          <w:tblCellMar>
            <w:top w:w="0" w:type="dxa"/>
            <w:left w:w="0" w:type="dxa"/>
            <w:bottom w:w="0" w:type="dxa"/>
            <w:right w:w="0" w:type="dxa"/>
          </w:tblCellMar>
        </w:tblPrEx>
        <w:trPr>
          <w:trHeight w:val="499"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226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设备名称</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设备型号</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台数</w:t>
            </w:r>
          </w:p>
        </w:tc>
        <w:tc>
          <w:tcPr>
            <w:tcW w:w="4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生产厂家</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车间</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埋弧焊机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ZD5-1000E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唐山开元自动焊接装备有限公司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埋弧焊机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BXL5-1250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唐山开元自动焊接装备有限公司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22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CO2气体保护焊机</w:t>
            </w:r>
          </w:p>
        </w:tc>
        <w:tc>
          <w:tcPr>
            <w:tcW w:w="20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NBR350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w:t>
            </w:r>
          </w:p>
        </w:tc>
        <w:tc>
          <w:tcPr>
            <w:tcW w:w="4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天津新技术产业园区北洋世纪焊接技术有限公司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交直流手工氩弧焊机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WSE5-500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上海奇锐创特焊接技术有限公司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逆变式直流弧焊机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ZX</w:t>
            </w:r>
            <w:r>
              <w:rPr>
                <w:rStyle w:val="81"/>
                <w:lang w:val="en-US" w:eastAsia="zh-CN" w:bidi="ar"/>
              </w:rPr>
              <w:t>7</w:t>
            </w:r>
            <w:r>
              <w:rPr>
                <w:rStyle w:val="82"/>
                <w:lang w:val="en-US" w:eastAsia="zh-CN" w:bidi="ar"/>
              </w:rPr>
              <w:t>-400S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4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山东万事达焊切设备有限公司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空气等离子弧切割机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LGK-100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成都高鑫焊接设备有限公司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卷板机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W11XB-30×2500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南京环力重工机械有限公司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逆变式直流弧焊机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ZX</w:t>
            </w:r>
            <w:r>
              <w:rPr>
                <w:rStyle w:val="81"/>
                <w:lang w:val="en-US" w:eastAsia="zh-CN" w:bidi="ar"/>
              </w:rPr>
              <w:t>7</w:t>
            </w:r>
            <w:r>
              <w:rPr>
                <w:rStyle w:val="82"/>
                <w:lang w:val="en-US" w:eastAsia="zh-CN" w:bidi="ar"/>
              </w:rPr>
              <w:t>-400S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4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山东万事达焊切设备有限公司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交直流手工氩弧焊机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WSE5-500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上海奇锐创特焊接技术有限公司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w:t>
            </w:r>
          </w:p>
        </w:tc>
        <w:tc>
          <w:tcPr>
            <w:tcW w:w="22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CO2气体保护焊机</w:t>
            </w:r>
          </w:p>
        </w:tc>
        <w:tc>
          <w:tcPr>
            <w:tcW w:w="20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NBR350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w:t>
            </w:r>
          </w:p>
        </w:tc>
        <w:tc>
          <w:tcPr>
            <w:tcW w:w="4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天津新技术产业园区北洋世纪焊接技术有限公司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空气等离子弧切割机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LGK-100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成都高鑫焊接设备有限公司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卷板机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w:t>
            </w:r>
            <w:r>
              <w:rPr>
                <w:rStyle w:val="81"/>
                <w:lang w:val="en-US" w:eastAsia="zh-CN" w:bidi="ar"/>
              </w:rPr>
              <w:t>11</w:t>
            </w:r>
            <w:r>
              <w:rPr>
                <w:rStyle w:val="82"/>
                <w:lang w:val="en-US" w:eastAsia="zh-CN" w:bidi="ar"/>
              </w:rPr>
              <w:t>-25×2500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4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泰安联达锻压设备制造有限公司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埋弧焊机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ZD5-1000E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唐山开元自动焊接装备有限公司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变位机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Z</w:t>
            </w:r>
            <w:r>
              <w:rPr>
                <w:rStyle w:val="83"/>
                <w:lang w:val="en-US" w:eastAsia="zh-CN" w:bidi="ar"/>
              </w:rPr>
              <w:t>HB-10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郑州越达自动化焊接设备有限公司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埋弧焊机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ZD5-1000E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唐山开元自动焊接装备有限公司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逆变式直流弧焊机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ZX</w:t>
            </w:r>
            <w:r>
              <w:rPr>
                <w:rStyle w:val="81"/>
                <w:lang w:val="en-US" w:eastAsia="zh-CN" w:bidi="ar"/>
              </w:rPr>
              <w:t>7</w:t>
            </w:r>
            <w:r>
              <w:rPr>
                <w:rStyle w:val="82"/>
                <w:lang w:val="en-US" w:eastAsia="zh-CN" w:bidi="ar"/>
              </w:rPr>
              <w:t>-400S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4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山东万事达焊切设备有限公司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交直流手工氩弧焊机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WSE5-500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南京奇锐创特焊接技术有限公司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电焊机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Z</w:t>
            </w:r>
            <w:r>
              <w:rPr>
                <w:rStyle w:val="83"/>
                <w:lang w:val="en-US" w:eastAsia="zh-CN" w:bidi="ar"/>
              </w:rPr>
              <w:t>X5-500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上海奇锐焊接设备制造有限公司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19</w:t>
            </w:r>
          </w:p>
        </w:tc>
        <w:tc>
          <w:tcPr>
            <w:tcW w:w="22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CO2气体保护焊机</w:t>
            </w:r>
          </w:p>
        </w:tc>
        <w:tc>
          <w:tcPr>
            <w:tcW w:w="20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NBR350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4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天津新技术产业园区北洋世纪焊接技术有限公司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空气等离子弧切割机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LGK-100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成都高鑫焊接设备有限公司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空气等离子弧切割机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LGK-63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成都高鑫焊接设备有限公司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卷板机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w:t>
            </w:r>
            <w:r>
              <w:rPr>
                <w:rStyle w:val="81"/>
                <w:lang w:val="en-US" w:eastAsia="zh-CN" w:bidi="ar"/>
              </w:rPr>
              <w:t>11</w:t>
            </w:r>
            <w:r>
              <w:rPr>
                <w:rStyle w:val="82"/>
                <w:lang w:val="en-US" w:eastAsia="zh-CN" w:bidi="ar"/>
              </w:rPr>
              <w:t>-25×2500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4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泰安联达锻压设备制造有限公司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开卷矫平剪切生产线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w:t>
            </w:r>
            <w:r>
              <w:rPr>
                <w:rStyle w:val="83"/>
                <w:lang w:val="en-US" w:eastAsia="zh-CN" w:bidi="ar"/>
              </w:rPr>
              <w:t>DT44-12×1500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泰安华鲁锻压机床有限公司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空气等离子弧切割机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L</w:t>
            </w:r>
            <w:r>
              <w:rPr>
                <w:rStyle w:val="83"/>
                <w:lang w:val="en-US" w:eastAsia="zh-CN" w:bidi="ar"/>
              </w:rPr>
              <w:t>GK-100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中国成都高鑫焊接设备有限公司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空气等离子弧切割机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LGK-250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中国成都高鑫焊接设备有限公司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电焊机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Z</w:t>
            </w:r>
            <w:r>
              <w:rPr>
                <w:rStyle w:val="83"/>
                <w:lang w:val="en-US" w:eastAsia="zh-CN" w:bidi="ar"/>
              </w:rPr>
              <w:t>X7-400S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山东万事达焊切设备有限公司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数控坐标式切割机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BODA-5000S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江苏博大数控成套设备有限公司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液压机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Y</w:t>
            </w:r>
            <w:r>
              <w:rPr>
                <w:rStyle w:val="83"/>
                <w:lang w:val="en-US" w:eastAsia="zh-CN" w:bidi="ar"/>
              </w:rPr>
              <w:t>S7-500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江苏省徐州锻压机床厂集团有限公司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液压板料折弯机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w:t>
            </w:r>
            <w:r>
              <w:rPr>
                <w:rStyle w:val="83"/>
                <w:lang w:val="en-US" w:eastAsia="zh-CN" w:bidi="ar"/>
              </w:rPr>
              <w:t>C67Y-400/4000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安徽东海机床制造有限公司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激光切割机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t>
            </w:r>
            <w:r>
              <w:rPr>
                <w:rStyle w:val="83"/>
                <w:lang w:val="en-US" w:eastAsia="zh-CN" w:bidi="ar"/>
              </w:rPr>
              <w:t>ECF3015 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武汉华俄激光工程有限公司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数控汽割机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HBMEDGE6×I4×211A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大连华锐重工数控设备有限公司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数控切割机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t>
            </w:r>
            <w:r>
              <w:rPr>
                <w:rStyle w:val="83"/>
                <w:lang w:val="en-US" w:eastAsia="zh-CN" w:bidi="ar"/>
              </w:rPr>
              <w:t>Y-6 116 CNC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郑州华洋电气设备有限公司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管板自动焊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WZM1-400C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扬中市神通焊接设备有限公司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等离子焊机</w:t>
            </w:r>
          </w:p>
        </w:tc>
        <w:tc>
          <w:tcPr>
            <w:tcW w:w="2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PLA-WEL 501D        PT-501CP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上海郎志焊接器材有限公司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坡口机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GMMA-100L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济南科清机电设备有限公司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四车间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bl>
    <w:p>
      <w:pPr>
        <w:spacing w:beforeLines="50" w:afterLines="50"/>
        <w:rPr>
          <w:b/>
          <w:kern w:val="0"/>
          <w:sz w:val="24"/>
          <w:szCs w:val="20"/>
        </w:rPr>
      </w:pPr>
      <w:r>
        <w:rPr>
          <w:b/>
          <w:kern w:val="0"/>
          <w:sz w:val="24"/>
          <w:szCs w:val="20"/>
        </w:rPr>
        <w:t>（3）生产信息</w:t>
      </w:r>
    </w:p>
    <w:p>
      <w:pPr>
        <w:pStyle w:val="45"/>
        <w:spacing w:line="360" w:lineRule="auto"/>
        <w:ind w:firstLine="480"/>
        <w:rPr>
          <w:rFonts w:ascii="Times New Roman"/>
          <w:b/>
          <w:sz w:val="28"/>
          <w:szCs w:val="28"/>
        </w:rPr>
      </w:pPr>
      <w:r>
        <w:rPr>
          <w:rFonts w:ascii="Times New Roman"/>
          <w:sz w:val="24"/>
        </w:rPr>
        <w:t>企业2018年度总产值、产品产量等生产情况如表</w:t>
      </w:r>
      <w:r>
        <w:rPr>
          <w:rFonts w:hint="eastAsia" w:ascii="Times New Roman"/>
          <w:sz w:val="24"/>
        </w:rPr>
        <w:t>5</w:t>
      </w:r>
      <w:r>
        <w:rPr>
          <w:rFonts w:ascii="Times New Roman"/>
          <w:sz w:val="24"/>
        </w:rPr>
        <w:t>所示</w:t>
      </w:r>
      <w:r>
        <w:rPr>
          <w:rFonts w:hint="eastAsia" w:ascii="Times New Roman"/>
          <w:sz w:val="24"/>
        </w:rPr>
        <w:t>：</w:t>
      </w:r>
    </w:p>
    <w:p>
      <w:pPr>
        <w:pStyle w:val="54"/>
        <w:spacing w:line="360" w:lineRule="auto"/>
        <w:ind w:firstLine="0" w:firstLineChars="0"/>
        <w:jc w:val="center"/>
        <w:rPr>
          <w:b/>
          <w:sz w:val="24"/>
        </w:rPr>
      </w:pPr>
      <w:r>
        <w:rPr>
          <w:b/>
          <w:sz w:val="24"/>
        </w:rPr>
        <w:t>表5</w:t>
      </w:r>
      <w:r>
        <w:rPr>
          <w:rFonts w:hint="eastAsia"/>
          <w:b/>
          <w:sz w:val="24"/>
          <w:lang w:eastAsia="zh-CN"/>
        </w:rPr>
        <w:t>肥城金塔酒精化工设备有限公司</w:t>
      </w:r>
      <w:r>
        <w:rPr>
          <w:b/>
          <w:sz w:val="24"/>
        </w:rPr>
        <w:t>2018年度生产情况汇总表</w:t>
      </w:r>
    </w:p>
    <w:tbl>
      <w:tblPr>
        <w:tblStyle w:val="30"/>
        <w:tblW w:w="6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8"/>
        <w:gridCol w:w="2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818" w:type="dxa"/>
            <w:shd w:val="clear" w:color="auto" w:fill="auto"/>
            <w:vAlign w:val="center"/>
          </w:tcPr>
          <w:p>
            <w:pPr>
              <w:widowControl/>
              <w:jc w:val="center"/>
              <w:rPr>
                <w:rFonts w:eastAsiaTheme="minorEastAsia"/>
                <w:b/>
                <w:kern w:val="0"/>
                <w:szCs w:val="21"/>
              </w:rPr>
            </w:pPr>
            <w:r>
              <w:rPr>
                <w:rFonts w:hint="eastAsia" w:eastAsiaTheme="minorEastAsia"/>
                <w:b/>
                <w:kern w:val="0"/>
                <w:szCs w:val="21"/>
              </w:rPr>
              <w:t>2018</w:t>
            </w:r>
            <w:r>
              <w:rPr>
                <w:rFonts w:eastAsiaTheme="minorEastAsia"/>
                <w:b/>
                <w:kern w:val="0"/>
                <w:szCs w:val="21"/>
              </w:rPr>
              <w:t>年度</w:t>
            </w:r>
          </w:p>
        </w:tc>
        <w:tc>
          <w:tcPr>
            <w:tcW w:w="2854" w:type="dxa"/>
            <w:shd w:val="clear" w:color="auto" w:fill="auto"/>
            <w:vAlign w:val="center"/>
          </w:tcPr>
          <w:p>
            <w:pPr>
              <w:widowControl/>
              <w:jc w:val="center"/>
              <w:rPr>
                <w:rFonts w:eastAsiaTheme="minorEastAsia"/>
                <w:b/>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818" w:type="dxa"/>
            <w:shd w:val="clear" w:color="auto" w:fill="auto"/>
            <w:vAlign w:val="center"/>
          </w:tcPr>
          <w:p>
            <w:pPr>
              <w:widowControl/>
              <w:jc w:val="center"/>
              <w:rPr>
                <w:rFonts w:eastAsiaTheme="minorEastAsia"/>
                <w:kern w:val="0"/>
                <w:szCs w:val="21"/>
              </w:rPr>
            </w:pPr>
            <w:r>
              <w:rPr>
                <w:rFonts w:eastAsiaTheme="minorEastAsia"/>
                <w:kern w:val="0"/>
                <w:szCs w:val="21"/>
              </w:rPr>
              <w:t>工业总产值（万元）</w:t>
            </w:r>
          </w:p>
        </w:tc>
        <w:tc>
          <w:tcPr>
            <w:tcW w:w="2854" w:type="dxa"/>
            <w:shd w:val="clear" w:color="auto" w:fill="auto"/>
            <w:vAlign w:val="center"/>
          </w:tcPr>
          <w:p>
            <w:pPr>
              <w:widowControl/>
              <w:jc w:val="center"/>
              <w:rPr>
                <w:rFonts w:hint="default" w:eastAsiaTheme="minorEastAsia"/>
                <w:kern w:val="0"/>
                <w:sz w:val="20"/>
                <w:szCs w:val="21"/>
                <w:lang w:val="en-US" w:eastAsia="zh-CN"/>
              </w:rPr>
            </w:pPr>
            <w:r>
              <w:rPr>
                <w:rFonts w:hint="eastAsia" w:eastAsiaTheme="minorEastAsia"/>
                <w:kern w:val="0"/>
                <w:sz w:val="20"/>
                <w:szCs w:val="21"/>
                <w:lang w:val="en-US" w:eastAsia="zh-CN"/>
              </w:rPr>
              <w:t>11212.35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818" w:type="dxa"/>
            <w:shd w:val="clear" w:color="auto" w:fill="auto"/>
            <w:vAlign w:val="center"/>
          </w:tcPr>
          <w:p>
            <w:pPr>
              <w:widowControl/>
              <w:jc w:val="center"/>
              <w:rPr>
                <w:rFonts w:eastAsiaTheme="minorEastAsia"/>
                <w:kern w:val="0"/>
                <w:szCs w:val="21"/>
              </w:rPr>
            </w:pPr>
            <w:r>
              <w:rPr>
                <w:rFonts w:eastAsiaTheme="minorEastAsia"/>
                <w:kern w:val="0"/>
                <w:szCs w:val="21"/>
              </w:rPr>
              <w:t>工业增加值（万元）</w:t>
            </w:r>
          </w:p>
        </w:tc>
        <w:tc>
          <w:tcPr>
            <w:tcW w:w="2854" w:type="dxa"/>
            <w:shd w:val="clear" w:color="auto" w:fill="auto"/>
            <w:vAlign w:val="center"/>
          </w:tcPr>
          <w:p>
            <w:pPr>
              <w:widowControl/>
              <w:jc w:val="center"/>
              <w:rPr>
                <w:rFonts w:hint="default" w:eastAsiaTheme="minorEastAsia"/>
                <w:kern w:val="0"/>
                <w:sz w:val="20"/>
                <w:szCs w:val="21"/>
                <w:lang w:val="en-US" w:eastAsia="zh-CN"/>
              </w:rPr>
            </w:pPr>
            <w:r>
              <w:rPr>
                <w:rFonts w:hint="eastAsia" w:eastAsiaTheme="minorEastAsia"/>
                <w:kern w:val="0"/>
                <w:sz w:val="20"/>
                <w:szCs w:val="21"/>
                <w:lang w:val="en-US" w:eastAsia="zh-CN"/>
              </w:rPr>
              <w:t>3186.35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818" w:type="dxa"/>
            <w:shd w:val="clear" w:color="auto" w:fill="auto"/>
            <w:vAlign w:val="center"/>
          </w:tcPr>
          <w:p>
            <w:pPr>
              <w:widowControl/>
              <w:jc w:val="center"/>
              <w:rPr>
                <w:rFonts w:eastAsiaTheme="minorEastAsia"/>
                <w:kern w:val="0"/>
                <w:szCs w:val="21"/>
              </w:rPr>
            </w:pPr>
            <w:r>
              <w:rPr>
                <w:rFonts w:eastAsiaTheme="minorEastAsia"/>
                <w:kern w:val="0"/>
                <w:szCs w:val="21"/>
              </w:rPr>
              <w:t>从业人员数量（人）</w:t>
            </w:r>
          </w:p>
        </w:tc>
        <w:tc>
          <w:tcPr>
            <w:tcW w:w="2854" w:type="dxa"/>
            <w:shd w:val="clear" w:color="auto" w:fill="auto"/>
            <w:vAlign w:val="center"/>
          </w:tcPr>
          <w:p>
            <w:pPr>
              <w:widowControl/>
              <w:jc w:val="center"/>
              <w:rPr>
                <w:rFonts w:hint="default" w:eastAsiaTheme="minorEastAsia"/>
                <w:kern w:val="0"/>
                <w:sz w:val="20"/>
                <w:szCs w:val="21"/>
                <w:lang w:val="en-US" w:eastAsia="zh-CN"/>
              </w:rPr>
            </w:pPr>
            <w:r>
              <w:rPr>
                <w:rFonts w:hint="eastAsia" w:eastAsiaTheme="minorEastAsia"/>
                <w:kern w:val="0"/>
                <w:sz w:val="20"/>
                <w:szCs w:val="21"/>
                <w:lang w:val="en-US" w:eastAsia="zh-CN"/>
              </w:rPr>
              <w:t>205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3818" w:type="dxa"/>
            <w:shd w:val="clear" w:color="auto" w:fill="auto"/>
            <w:vAlign w:val="center"/>
          </w:tcPr>
          <w:p>
            <w:pPr>
              <w:widowControl/>
              <w:jc w:val="center"/>
              <w:rPr>
                <w:rFonts w:eastAsiaTheme="minorEastAsia"/>
                <w:kern w:val="0"/>
                <w:szCs w:val="21"/>
              </w:rPr>
            </w:pPr>
            <w:r>
              <w:rPr>
                <w:rFonts w:hint="eastAsia" w:eastAsiaTheme="minorEastAsia"/>
                <w:kern w:val="0"/>
                <w:szCs w:val="21"/>
              </w:rPr>
              <w:t>产品产量</w:t>
            </w:r>
          </w:p>
        </w:tc>
        <w:tc>
          <w:tcPr>
            <w:tcW w:w="2854" w:type="dxa"/>
            <w:shd w:val="clear" w:color="auto" w:fill="auto"/>
            <w:vAlign w:val="center"/>
          </w:tcPr>
          <w:p>
            <w:pPr>
              <w:widowControl/>
              <w:jc w:val="center"/>
              <w:rPr>
                <w:rFonts w:hint="default" w:eastAsiaTheme="minorEastAsia"/>
                <w:kern w:val="0"/>
                <w:sz w:val="20"/>
                <w:szCs w:val="21"/>
                <w:lang w:val="en-US" w:eastAsia="zh-CN"/>
              </w:rPr>
            </w:pPr>
            <w:r>
              <w:rPr>
                <w:rFonts w:hint="eastAsia" w:eastAsiaTheme="minorEastAsia"/>
                <w:kern w:val="0"/>
                <w:sz w:val="20"/>
                <w:szCs w:val="21"/>
                <w:lang w:val="en-US" w:eastAsia="zh-CN"/>
              </w:rPr>
              <w:t>3349.04吨</w:t>
            </w:r>
          </w:p>
        </w:tc>
      </w:tr>
    </w:tbl>
    <w:p>
      <w:pPr>
        <w:tabs>
          <w:tab w:val="left" w:pos="890"/>
        </w:tabs>
        <w:rPr>
          <w:sz w:val="24"/>
          <w:szCs w:val="20"/>
        </w:rPr>
        <w:sectPr>
          <w:pgSz w:w="16838" w:h="11906" w:orient="landscape"/>
          <w:pgMar w:top="1800" w:right="1440" w:bottom="1800" w:left="1440" w:header="850" w:footer="992" w:gutter="0"/>
          <w:pgNumType w:fmt="numberInDash"/>
          <w:cols w:space="425" w:num="1"/>
          <w:docGrid w:type="lines" w:linePitch="312" w:charSpace="0"/>
        </w:sectPr>
      </w:pPr>
    </w:p>
    <w:p>
      <w:pPr>
        <w:pStyle w:val="60"/>
        <w:spacing w:beforeLines="50" w:line="360" w:lineRule="auto"/>
        <w:rPr>
          <w:b w:val="0"/>
        </w:rPr>
      </w:pPr>
      <w:bookmarkStart w:id="20" w:name="_Toc423875514"/>
      <w:bookmarkStart w:id="21" w:name="_Toc424499122"/>
      <w:bookmarkStart w:id="22" w:name="_Toc512074773"/>
      <w:r>
        <w:rPr>
          <w:b w:val="0"/>
        </w:rPr>
        <w:t>2.2</w:t>
      </w:r>
      <w:bookmarkEnd w:id="20"/>
      <w:bookmarkEnd w:id="21"/>
      <w:r>
        <w:rPr>
          <w:b w:val="0"/>
        </w:rPr>
        <w:t>盘查边界</w:t>
      </w:r>
      <w:bookmarkEnd w:id="22"/>
    </w:p>
    <w:p>
      <w:pPr>
        <w:pStyle w:val="60"/>
        <w:spacing w:line="360" w:lineRule="auto"/>
        <w:outlineLvl w:val="2"/>
        <w:rPr>
          <w:rFonts w:eastAsia="宋体"/>
          <w:sz w:val="24"/>
        </w:rPr>
      </w:pPr>
      <w:bookmarkStart w:id="23" w:name="_Toc512074774"/>
      <w:r>
        <w:rPr>
          <w:rFonts w:eastAsia="宋体"/>
          <w:sz w:val="24"/>
        </w:rPr>
        <w:t>2.2.1边界识别</w:t>
      </w:r>
      <w:bookmarkEnd w:id="23"/>
    </w:p>
    <w:p>
      <w:pPr>
        <w:pStyle w:val="45"/>
        <w:spacing w:line="360" w:lineRule="auto"/>
        <w:ind w:firstLine="480"/>
        <w:rPr>
          <w:rFonts w:ascii="Times New Roman"/>
          <w:sz w:val="24"/>
          <w:szCs w:val="24"/>
        </w:rPr>
      </w:pPr>
      <w:r>
        <w:rPr>
          <w:rFonts w:hint="eastAsia"/>
          <w:b/>
          <w:sz w:val="24"/>
          <w:lang w:eastAsia="zh-CN"/>
        </w:rPr>
        <w:t>肥城金塔酒精化工设备有限公司</w:t>
      </w:r>
      <w:r>
        <w:rPr>
          <w:rFonts w:ascii="Times New Roman"/>
          <w:sz w:val="24"/>
          <w:szCs w:val="24"/>
        </w:rPr>
        <w:t>位于</w:t>
      </w:r>
      <w:r>
        <w:rPr>
          <w:rFonts w:hint="eastAsia" w:ascii="Times New Roman"/>
          <w:sz w:val="24"/>
          <w:szCs w:val="24"/>
          <w:lang w:eastAsia="zh-CN"/>
        </w:rPr>
        <w:t>肥城市高新技术产业开发区</w:t>
      </w:r>
      <w:r>
        <w:rPr>
          <w:rFonts w:ascii="Times New Roman"/>
          <w:sz w:val="24"/>
          <w:szCs w:val="24"/>
        </w:rPr>
        <w:t>。本次盘查的边界为</w:t>
      </w:r>
      <w:r>
        <w:rPr>
          <w:rFonts w:hint="eastAsia"/>
          <w:b/>
          <w:sz w:val="24"/>
          <w:lang w:eastAsia="zh-CN"/>
        </w:rPr>
        <w:t>肥城金塔酒精化工设备有限公司</w:t>
      </w:r>
      <w:r>
        <w:rPr>
          <w:rFonts w:ascii="Times New Roman"/>
          <w:sz w:val="24"/>
          <w:szCs w:val="24"/>
        </w:rPr>
        <w:t>的厂区，核算和报告在运营上受企业控制的所有生产设施产生的温室气体排放。</w:t>
      </w:r>
    </w:p>
    <w:p>
      <w:pPr>
        <w:pStyle w:val="45"/>
        <w:spacing w:line="360" w:lineRule="auto"/>
        <w:ind w:firstLine="480"/>
        <w:rPr>
          <w:rFonts w:ascii="Times New Roman"/>
          <w:sz w:val="24"/>
          <w:szCs w:val="24"/>
        </w:rPr>
      </w:pPr>
      <w:r>
        <w:rPr>
          <w:rFonts w:ascii="Times New Roman"/>
          <w:sz w:val="24"/>
          <w:szCs w:val="24"/>
        </w:rPr>
        <w:t>设施范围包括基本生产系统、辅助生产系统、以及直接为生产服务的附属生产系统，具体包括企业生产耗电设施以及为生产服务的辅助生产系统，包括厂区内的动力、供电、供水、采暖、机修、化验、仪表、仓库（原料场）、运输等，企业食堂外包，因此无食堂用能源消耗。</w:t>
      </w:r>
    </w:p>
    <w:p>
      <w:pPr>
        <w:pStyle w:val="60"/>
        <w:spacing w:line="360" w:lineRule="auto"/>
        <w:outlineLvl w:val="2"/>
        <w:rPr>
          <w:rFonts w:eastAsia="宋体"/>
          <w:sz w:val="24"/>
        </w:rPr>
      </w:pPr>
      <w:bookmarkStart w:id="24" w:name="_Toc512074775"/>
      <w:r>
        <w:rPr>
          <w:rFonts w:eastAsia="宋体"/>
          <w:sz w:val="24"/>
        </w:rPr>
        <w:t>2.2.2排放源识别</w:t>
      </w:r>
      <w:bookmarkEnd w:id="24"/>
    </w:p>
    <w:p>
      <w:pPr>
        <w:pStyle w:val="45"/>
        <w:spacing w:line="360" w:lineRule="auto"/>
        <w:ind w:firstLine="480"/>
        <w:rPr>
          <w:rFonts w:ascii="Times New Roman"/>
          <w:sz w:val="24"/>
        </w:rPr>
      </w:pPr>
      <w:r>
        <w:rPr>
          <w:rFonts w:ascii="Times New Roman"/>
          <w:sz w:val="24"/>
        </w:rPr>
        <w:t>企业应</w:t>
      </w:r>
      <w:r>
        <w:rPr>
          <w:rFonts w:ascii="Times New Roman"/>
          <w:sz w:val="24"/>
          <w:szCs w:val="24"/>
        </w:rPr>
        <w:t>核算</w:t>
      </w:r>
      <w:r>
        <w:rPr>
          <w:rFonts w:ascii="Times New Roman"/>
          <w:sz w:val="24"/>
        </w:rPr>
        <w:t>的排放源类别和气体种类包括：</w:t>
      </w:r>
    </w:p>
    <w:p>
      <w:pPr>
        <w:pStyle w:val="66"/>
        <w:widowControl w:val="0"/>
        <w:numPr>
          <w:ilvl w:val="0"/>
          <w:numId w:val="0"/>
        </w:numPr>
        <w:spacing w:line="360" w:lineRule="auto"/>
        <w:ind w:left="480" w:leftChars="0"/>
        <w:jc w:val="both"/>
        <w:rPr>
          <w:i w:val="0"/>
          <w:sz w:val="24"/>
          <w:szCs w:val="24"/>
        </w:rPr>
      </w:pPr>
      <w:r>
        <w:rPr>
          <w:i w:val="0"/>
          <w:sz w:val="24"/>
        </w:rPr>
        <w:t>净购入电力的CO</w:t>
      </w:r>
      <w:r>
        <w:rPr>
          <w:i w:val="0"/>
          <w:sz w:val="24"/>
          <w:vertAlign w:val="subscript"/>
        </w:rPr>
        <w:t>2</w:t>
      </w:r>
      <w:r>
        <w:rPr>
          <w:i w:val="0"/>
          <w:sz w:val="24"/>
        </w:rPr>
        <w:t>排放。</w:t>
      </w:r>
    </w:p>
    <w:p>
      <w:pPr>
        <w:pStyle w:val="60"/>
        <w:spacing w:beforeLines="50" w:line="360" w:lineRule="auto"/>
        <w:rPr>
          <w:b w:val="0"/>
        </w:rPr>
      </w:pPr>
      <w:bookmarkStart w:id="25" w:name="_Toc512074776"/>
      <w:r>
        <w:rPr>
          <w:b w:val="0"/>
        </w:rPr>
        <w:t>2.3核算方法与活动水平数据</w:t>
      </w:r>
      <w:bookmarkEnd w:id="25"/>
    </w:p>
    <w:p>
      <w:pPr>
        <w:spacing w:line="360" w:lineRule="auto"/>
        <w:ind w:firstLine="480" w:firstLineChars="200"/>
        <w:rPr>
          <w:sz w:val="24"/>
        </w:rPr>
      </w:pPr>
      <w:r>
        <w:rPr>
          <w:sz w:val="24"/>
        </w:rPr>
        <w:t>根据《核算指南》，企业的温室气体排放总量应等于企业净购入电力的CO</w:t>
      </w:r>
      <w:r>
        <w:rPr>
          <w:sz w:val="24"/>
          <w:vertAlign w:val="subscript"/>
        </w:rPr>
        <w:t>2</w:t>
      </w:r>
      <w:r>
        <w:rPr>
          <w:sz w:val="24"/>
        </w:rPr>
        <w:t>排放量，由于</w:t>
      </w:r>
      <w:r>
        <w:rPr>
          <w:rFonts w:hint="eastAsia"/>
          <w:b/>
          <w:sz w:val="24"/>
          <w:lang w:eastAsia="zh-CN"/>
        </w:rPr>
        <w:t>肥城金塔酒精化工设备有限公司</w:t>
      </w:r>
      <w:r>
        <w:rPr>
          <w:sz w:val="24"/>
        </w:rPr>
        <w:t>不涉及CO</w:t>
      </w:r>
      <w:r>
        <w:rPr>
          <w:sz w:val="24"/>
          <w:vertAlign w:val="subscript"/>
        </w:rPr>
        <w:t>2</w:t>
      </w:r>
      <w:r>
        <w:rPr>
          <w:sz w:val="24"/>
        </w:rPr>
        <w:t>回收利用量，因此排放量按式（1）计算：E</w:t>
      </w:r>
      <w:r>
        <w:rPr>
          <w:sz w:val="24"/>
          <w:vertAlign w:val="subscript"/>
        </w:rPr>
        <w:t>GHG</w:t>
      </w:r>
      <w:r>
        <w:rPr>
          <w:rFonts w:hint="eastAsia"/>
          <w:sz w:val="24"/>
          <w:vertAlign w:val="subscript"/>
          <w:lang w:val="en-US" w:eastAsia="zh-CN"/>
        </w:rPr>
        <w:t xml:space="preserve">   =  </w:t>
      </w:r>
      <w:r>
        <w:rPr>
          <w:sz w:val="24"/>
        </w:rPr>
        <w:t>E</w:t>
      </w:r>
      <w:r>
        <w:rPr>
          <w:sz w:val="24"/>
          <w:vertAlign w:val="subscript"/>
        </w:rPr>
        <w:t>CO2_净电</w:t>
      </w:r>
      <w:r>
        <w:rPr>
          <w:sz w:val="24"/>
        </w:rPr>
        <w:t>（1）式中：</w:t>
      </w:r>
    </w:p>
    <w:p>
      <w:pPr>
        <w:tabs>
          <w:tab w:val="left" w:pos="2552"/>
        </w:tabs>
        <w:spacing w:line="360" w:lineRule="auto"/>
        <w:ind w:firstLine="480" w:firstLineChars="200"/>
        <w:rPr>
          <w:sz w:val="24"/>
        </w:rPr>
      </w:pPr>
      <w:r>
        <w:rPr>
          <w:sz w:val="24"/>
        </w:rPr>
        <w:t>E</w:t>
      </w:r>
      <w:r>
        <w:rPr>
          <w:sz w:val="24"/>
          <w:vertAlign w:val="subscript"/>
        </w:rPr>
        <w:t>GHG</w:t>
      </w:r>
      <w:r>
        <w:rPr>
          <w:sz w:val="24"/>
        </w:rPr>
        <w:t>为企业的温室气体排放总量，单位为tCO</w:t>
      </w:r>
      <w:r>
        <w:rPr>
          <w:sz w:val="24"/>
          <w:vertAlign w:val="subscript"/>
        </w:rPr>
        <w:t>2</w:t>
      </w:r>
      <w:r>
        <w:rPr>
          <w:sz w:val="24"/>
        </w:rPr>
        <w:t>；</w:t>
      </w:r>
    </w:p>
    <w:p>
      <w:pPr>
        <w:spacing w:line="360" w:lineRule="auto"/>
        <w:ind w:firstLine="480" w:firstLineChars="200"/>
        <w:rPr>
          <w:sz w:val="24"/>
        </w:rPr>
      </w:pPr>
      <w:r>
        <w:rPr>
          <w:sz w:val="24"/>
        </w:rPr>
        <w:t>E</w:t>
      </w:r>
      <w:r>
        <w:rPr>
          <w:sz w:val="24"/>
          <w:vertAlign w:val="subscript"/>
        </w:rPr>
        <w:t>CO2_净电</w:t>
      </w:r>
      <w:r>
        <w:rPr>
          <w:sz w:val="24"/>
        </w:rPr>
        <w:t>为企业的净购入电力隐含的CO</w:t>
      </w:r>
      <w:r>
        <w:rPr>
          <w:sz w:val="24"/>
          <w:vertAlign w:val="subscript"/>
        </w:rPr>
        <w:t>2</w:t>
      </w:r>
      <w:r>
        <w:rPr>
          <w:sz w:val="24"/>
        </w:rPr>
        <w:t>排放量，单位为tCO</w:t>
      </w:r>
      <w:r>
        <w:rPr>
          <w:sz w:val="24"/>
          <w:vertAlign w:val="subscript"/>
        </w:rPr>
        <w:t>2</w:t>
      </w:r>
      <w:r>
        <w:rPr>
          <w:sz w:val="24"/>
        </w:rPr>
        <w:t>；</w:t>
      </w:r>
    </w:p>
    <w:p>
      <w:pPr>
        <w:spacing w:line="360" w:lineRule="auto"/>
        <w:ind w:firstLine="480" w:firstLineChars="200"/>
        <w:rPr>
          <w:sz w:val="24"/>
        </w:rPr>
      </w:pPr>
      <w:r>
        <w:rPr>
          <w:sz w:val="24"/>
        </w:rPr>
        <w:t>核算数据的可信性、完整性和规范性是核算排放量的前提保障。为了保障数据真实、可靠、正确，盘查过程中，</w:t>
      </w:r>
      <w:r>
        <w:rPr>
          <w:color w:val="000000" w:themeColor="text1"/>
          <w:sz w:val="24"/>
        </w:rPr>
        <w:t>盘查组制定了详细的数据核对方案。通过现场了解企业的数据监测、记录、汇总过程，最终选择使用最准确、最原始的文件作为数据源，用于计算碳排放量，并选取可得的其他来源文件则作为交叉核对，用于验证数据源文件的准确性。</w:t>
      </w:r>
    </w:p>
    <w:p>
      <w:pPr>
        <w:pStyle w:val="60"/>
        <w:spacing w:line="360" w:lineRule="auto"/>
        <w:outlineLvl w:val="2"/>
        <w:rPr>
          <w:rFonts w:eastAsia="宋体"/>
          <w:sz w:val="24"/>
        </w:rPr>
      </w:pPr>
      <w:bookmarkStart w:id="26" w:name="_Toc512074778"/>
      <w:r>
        <w:rPr>
          <w:rFonts w:eastAsia="宋体"/>
          <w:sz w:val="24"/>
        </w:rPr>
        <w:t>2.3.</w:t>
      </w:r>
      <w:r>
        <w:rPr>
          <w:rFonts w:hint="eastAsia" w:eastAsia="宋体"/>
          <w:sz w:val="24"/>
          <w:lang w:val="en-US" w:eastAsia="zh-CN"/>
        </w:rPr>
        <w:t>1</w:t>
      </w:r>
      <w:r>
        <w:rPr>
          <w:rFonts w:eastAsia="宋体"/>
          <w:sz w:val="24"/>
        </w:rPr>
        <w:t>净购入电力的CO</w:t>
      </w:r>
      <w:r>
        <w:rPr>
          <w:rFonts w:eastAsia="宋体"/>
          <w:sz w:val="24"/>
          <w:vertAlign w:val="subscript"/>
        </w:rPr>
        <w:t>2</w:t>
      </w:r>
      <w:r>
        <w:rPr>
          <w:rFonts w:eastAsia="宋体"/>
          <w:sz w:val="24"/>
        </w:rPr>
        <w:t>排放</w:t>
      </w:r>
      <w:bookmarkEnd w:id="26"/>
    </w:p>
    <w:p>
      <w:pPr>
        <w:spacing w:line="360" w:lineRule="auto"/>
        <w:rPr>
          <w:b/>
          <w:sz w:val="24"/>
        </w:rPr>
      </w:pPr>
      <w:r>
        <w:rPr>
          <w:b/>
          <w:sz w:val="24"/>
        </w:rPr>
        <w:t>2.3.</w:t>
      </w:r>
      <w:r>
        <w:rPr>
          <w:rFonts w:hint="eastAsia"/>
          <w:b/>
          <w:sz w:val="24"/>
          <w:lang w:val="en-US" w:eastAsia="zh-CN"/>
        </w:rPr>
        <w:t>1</w:t>
      </w:r>
      <w:r>
        <w:rPr>
          <w:b/>
          <w:sz w:val="24"/>
        </w:rPr>
        <w:t>.1净购入电力引起的</w:t>
      </w:r>
      <w:r>
        <w:rPr>
          <w:sz w:val="24"/>
        </w:rPr>
        <w:t>CO</w:t>
      </w:r>
      <w:r>
        <w:rPr>
          <w:sz w:val="24"/>
          <w:vertAlign w:val="subscript"/>
        </w:rPr>
        <w:t>2</w:t>
      </w:r>
      <w:r>
        <w:rPr>
          <w:b/>
          <w:sz w:val="24"/>
        </w:rPr>
        <w:t>排放</w:t>
      </w:r>
    </w:p>
    <w:p>
      <w:pPr>
        <w:spacing w:line="360" w:lineRule="auto"/>
        <w:ind w:firstLine="480" w:firstLineChars="200"/>
        <w:rPr>
          <w:sz w:val="24"/>
        </w:rPr>
      </w:pPr>
      <w:r>
        <w:rPr>
          <w:sz w:val="24"/>
        </w:rPr>
        <w:t>对于净购入使用电力产生的二氧化碳排放，分别按以下公式计算：</w:t>
      </w:r>
    </w:p>
    <w:p>
      <w:pPr>
        <w:spacing w:line="360" w:lineRule="auto"/>
        <w:ind w:right="480"/>
        <w:jc w:val="right"/>
        <w:rPr>
          <w:sz w:val="24"/>
        </w:rPr>
      </w:pPr>
      <m:oMath>
        <m:sSub>
          <m:sSubPr>
            <m:ctrlPr>
              <w:rPr>
                <w:rFonts w:ascii="Cambria Math" w:hAnsi="Cambria Math"/>
                <w:sz w:val="24"/>
              </w:rPr>
            </m:ctrlPr>
          </m:sSubPr>
          <m:e>
            <m:r>
              <w:rPr>
                <w:rFonts w:ascii="Cambria Math" w:hAnsi="Cambria Math"/>
                <w:sz w:val="24"/>
              </w:rPr>
              <m:t>E</m:t>
            </m:r>
            <m:ctrlPr>
              <w:rPr>
                <w:rFonts w:ascii="Cambria Math" w:hAnsi="Cambria Math"/>
                <w:sz w:val="24"/>
              </w:rPr>
            </m:ctrlPr>
          </m:e>
          <m:sub>
            <m:r>
              <w:rPr>
                <w:rFonts w:ascii="Cambria Math" w:hAnsi="Cambria Math"/>
                <w:sz w:val="24"/>
              </w:rPr>
              <m:t>CO2_</m:t>
            </m:r>
            <m:r>
              <m:rPr>
                <m:sty m:val="p"/>
              </m:rPr>
              <w:rPr>
                <w:rFonts w:ascii="Cambria Math" w:hAnsi="Cambria Math"/>
                <w:sz w:val="24"/>
              </w:rPr>
              <m:t>净电</m:t>
            </m:r>
            <m:ctrlPr>
              <w:rPr>
                <w:rFonts w:ascii="Cambria Math" w:hAnsi="Cambria Math"/>
                <w:sz w:val="24"/>
              </w:rPr>
            </m:ctrlPr>
          </m:sub>
        </m:sSub>
        <m:r>
          <w:rPr>
            <w:rFonts w:ascii="Cambria Math" w:hAnsi="Cambria Math"/>
            <w:sz w:val="24"/>
          </w:rPr>
          <m:t>=</m:t>
        </m:r>
        <m:sSub>
          <m:sSubPr>
            <m:ctrlPr>
              <w:rPr>
                <w:rFonts w:ascii="Cambria Math" w:hAnsi="Cambria Math"/>
                <w:sz w:val="24"/>
              </w:rPr>
            </m:ctrlPr>
          </m:sSubPr>
          <m:e>
            <m:r>
              <w:rPr>
                <w:rFonts w:ascii="Cambria Math" w:hAnsi="Cambria Math"/>
                <w:sz w:val="24"/>
              </w:rPr>
              <m:t>AD</m:t>
            </m:r>
            <m:ctrlPr>
              <w:rPr>
                <w:rFonts w:ascii="Cambria Math" w:hAnsi="Cambria Math"/>
                <w:sz w:val="24"/>
              </w:rPr>
            </m:ctrlPr>
          </m:e>
          <m:sub>
            <m:r>
              <m:rPr>
                <m:sty m:val="p"/>
              </m:rPr>
              <w:rPr>
                <w:rFonts w:ascii="Cambria Math" w:hAnsi="Cambria Math"/>
                <w:sz w:val="24"/>
              </w:rPr>
              <m:t>电力</m:t>
            </m:r>
            <m:ctrlPr>
              <w:rPr>
                <w:rFonts w:ascii="Cambria Math" w:hAnsi="Cambria Math"/>
                <w:sz w:val="24"/>
              </w:rPr>
            </m:ctrlPr>
          </m:sub>
        </m:sSub>
        <m:r>
          <w:rPr>
            <w:rFonts w:ascii="Cambria Math" w:hAnsi="Cambria Math"/>
            <w:sz w:val="24"/>
          </w:rPr>
          <m:t>×</m:t>
        </m:r>
        <m:sSub>
          <m:sSubPr>
            <m:ctrlPr>
              <w:rPr>
                <w:rFonts w:ascii="Cambria Math" w:hAnsi="Cambria Math"/>
                <w:i/>
                <w:sz w:val="24"/>
              </w:rPr>
            </m:ctrlPr>
          </m:sSubPr>
          <m:e>
            <m:r>
              <w:rPr>
                <w:rFonts w:ascii="Cambria Math" w:hAnsi="Cambria Math"/>
                <w:sz w:val="24"/>
              </w:rPr>
              <m:t>EF</m:t>
            </m:r>
            <m:ctrlPr>
              <w:rPr>
                <w:rFonts w:ascii="Cambria Math" w:hAnsi="Cambria Math"/>
                <w:i/>
                <w:sz w:val="24"/>
              </w:rPr>
            </m:ctrlPr>
          </m:e>
          <m:sub>
            <m:r>
              <m:rPr>
                <m:sty m:val="p"/>
              </m:rPr>
              <w:rPr>
                <w:rFonts w:ascii="Cambria Math" w:hAnsi="Cambria Math"/>
                <w:sz w:val="24"/>
              </w:rPr>
              <m:t>电力</m:t>
            </m:r>
            <m:ctrlPr>
              <w:rPr>
                <w:rFonts w:ascii="Cambria Math" w:hAnsi="Cambria Math"/>
                <w:i/>
                <w:sz w:val="24"/>
              </w:rPr>
            </m:ctrlPr>
          </m:sub>
        </m:sSub>
      </m:oMath>
      <w:r>
        <w:rPr>
          <w:sz w:val="24"/>
        </w:rPr>
        <w:t xml:space="preserve">              （10）</w:t>
      </w:r>
    </w:p>
    <w:p>
      <w:pPr>
        <w:spacing w:line="360" w:lineRule="auto"/>
        <w:rPr>
          <w:sz w:val="24"/>
        </w:rPr>
      </w:pPr>
      <w:r>
        <w:rPr>
          <w:sz w:val="24"/>
        </w:rPr>
        <w:t>式中：</w:t>
      </w:r>
    </w:p>
    <w:p>
      <w:pPr>
        <w:spacing w:line="360" w:lineRule="auto"/>
        <w:ind w:firstLine="480" w:firstLineChars="200"/>
        <w:rPr>
          <w:sz w:val="24"/>
        </w:rPr>
      </w:pPr>
      <w:r>
        <w:rPr>
          <w:i/>
          <w:sz w:val="24"/>
        </w:rPr>
        <w:t>E</w:t>
      </w:r>
      <w:r>
        <w:rPr>
          <w:i/>
          <w:sz w:val="24"/>
          <w:vertAlign w:val="subscript"/>
        </w:rPr>
        <w:t>CO2_净电</w:t>
      </w:r>
      <w:r>
        <w:rPr>
          <w:sz w:val="24"/>
        </w:rPr>
        <w:t>为净购入电力隐含的CO</w:t>
      </w:r>
      <w:r>
        <w:rPr>
          <w:sz w:val="24"/>
          <w:vertAlign w:val="subscript"/>
        </w:rPr>
        <w:t>2</w:t>
      </w:r>
      <w:r>
        <w:rPr>
          <w:sz w:val="24"/>
        </w:rPr>
        <w:t>排放量，单位为tCO</w:t>
      </w:r>
      <w:r>
        <w:rPr>
          <w:sz w:val="24"/>
          <w:vertAlign w:val="subscript"/>
        </w:rPr>
        <w:t>2</w:t>
      </w:r>
      <w:r>
        <w:rPr>
          <w:sz w:val="24"/>
        </w:rPr>
        <w:t>；</w:t>
      </w:r>
    </w:p>
    <w:p>
      <w:pPr>
        <w:spacing w:line="360" w:lineRule="auto"/>
        <w:ind w:firstLine="480" w:firstLineChars="200"/>
        <w:rPr>
          <w:sz w:val="24"/>
        </w:rPr>
      </w:pPr>
      <w:r>
        <w:rPr>
          <w:i/>
          <w:sz w:val="24"/>
        </w:rPr>
        <w:t>AD</w:t>
      </w:r>
      <w:r>
        <w:rPr>
          <w:i/>
          <w:sz w:val="24"/>
          <w:vertAlign w:val="subscript"/>
        </w:rPr>
        <w:t>电力</w:t>
      </w:r>
      <w:r>
        <w:rPr>
          <w:sz w:val="24"/>
        </w:rPr>
        <w:t>为企业的净购入电力消费量，单位为MWh；</w:t>
      </w:r>
    </w:p>
    <w:p>
      <w:pPr>
        <w:spacing w:line="360" w:lineRule="auto"/>
        <w:ind w:firstLine="480" w:firstLineChars="200"/>
        <w:rPr>
          <w:sz w:val="24"/>
        </w:rPr>
      </w:pPr>
      <w:r>
        <w:rPr>
          <w:i/>
          <w:sz w:val="24"/>
        </w:rPr>
        <w:t>EF</w:t>
      </w:r>
      <w:r>
        <w:rPr>
          <w:i/>
          <w:sz w:val="24"/>
          <w:vertAlign w:val="subscript"/>
        </w:rPr>
        <w:t>电力</w:t>
      </w:r>
      <w:r>
        <w:rPr>
          <w:sz w:val="24"/>
        </w:rPr>
        <w:t>为电力供应的CO</w:t>
      </w:r>
      <w:r>
        <w:rPr>
          <w:sz w:val="24"/>
          <w:vertAlign w:val="subscript"/>
        </w:rPr>
        <w:t>2</w:t>
      </w:r>
      <w:r>
        <w:rPr>
          <w:sz w:val="24"/>
        </w:rPr>
        <w:t>排放因子，单位为CO</w:t>
      </w:r>
      <w:r>
        <w:rPr>
          <w:sz w:val="24"/>
          <w:vertAlign w:val="subscript"/>
        </w:rPr>
        <w:t>2</w:t>
      </w:r>
      <w:r>
        <w:rPr>
          <w:sz w:val="24"/>
        </w:rPr>
        <w:t>/MWh；</w:t>
      </w:r>
    </w:p>
    <w:p>
      <w:pPr>
        <w:widowControl/>
        <w:autoSpaceDE w:val="0"/>
        <w:autoSpaceDN w:val="0"/>
        <w:adjustRightInd w:val="0"/>
        <w:spacing w:line="360" w:lineRule="auto"/>
        <w:ind w:firstLine="480" w:firstLineChars="200"/>
        <w:rPr>
          <w:sz w:val="24"/>
        </w:rPr>
      </w:pPr>
      <w:r>
        <w:rPr>
          <w:b/>
          <w:sz w:val="24"/>
        </w:rPr>
        <w:t>（1）净购入电量数据及来源</w:t>
      </w:r>
    </w:p>
    <w:p>
      <w:pPr>
        <w:spacing w:line="360" w:lineRule="auto"/>
        <w:ind w:firstLine="480" w:firstLineChars="200"/>
        <w:rPr>
          <w:sz w:val="24"/>
        </w:rPr>
      </w:pPr>
      <w:r>
        <w:rPr>
          <w:sz w:val="24"/>
        </w:rPr>
        <w:t>依据《核算指南》，企业净购入的电力消费量应等于购入电量与外供电量的净差。企业的电力均为外购。</w:t>
      </w:r>
    </w:p>
    <w:p>
      <w:pPr>
        <w:spacing w:line="360" w:lineRule="auto"/>
        <w:ind w:firstLine="480" w:firstLineChars="200"/>
        <w:rPr>
          <w:color w:val="000000" w:themeColor="text1"/>
          <w:sz w:val="24"/>
        </w:rPr>
      </w:pPr>
      <w:r>
        <w:rPr>
          <w:color w:val="000000" w:themeColor="text1"/>
          <w:sz w:val="24"/>
        </w:rPr>
        <w:t>企业外购电力数据收集了以下几种数据源文件：1）2018年度1-12月能耗月报；2）企业2018年上报统计局能源购进、消费与库存表；3）2018年度部分月度的购电发票。</w:t>
      </w:r>
    </w:p>
    <w:p>
      <w:pPr>
        <w:spacing w:line="360" w:lineRule="auto"/>
        <w:jc w:val="center"/>
        <w:rPr>
          <w:b/>
          <w:sz w:val="24"/>
        </w:rPr>
      </w:pPr>
      <w:r>
        <w:rPr>
          <w:b/>
          <w:sz w:val="24"/>
        </w:rPr>
        <w:t>表10   2018年度净购入电力（单位：</w:t>
      </w:r>
      <w:r>
        <w:rPr>
          <w:szCs w:val="21"/>
        </w:rPr>
        <w:t>MWh</w:t>
      </w:r>
      <w:r>
        <w:rPr>
          <w:b/>
          <w:sz w:val="24"/>
        </w:rPr>
        <w:t>）</w:t>
      </w:r>
    </w:p>
    <w:tbl>
      <w:tblPr>
        <w:tblStyle w:val="30"/>
        <w:tblW w:w="3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79"/>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1879" w:type="dxa"/>
            <w:shd w:val="clear" w:color="auto" w:fill="auto"/>
            <w:tcMar>
              <w:top w:w="15" w:type="dxa"/>
              <w:left w:w="15" w:type="dxa"/>
              <w:bottom w:w="0" w:type="dxa"/>
              <w:right w:w="15" w:type="dxa"/>
            </w:tcMar>
            <w:vAlign w:val="center"/>
          </w:tcPr>
          <w:p>
            <w:pPr>
              <w:widowControl/>
              <w:jc w:val="center"/>
              <w:rPr>
                <w:b/>
                <w:bCs/>
                <w:color w:val="000000"/>
                <w:kern w:val="0"/>
                <w:szCs w:val="21"/>
              </w:rPr>
            </w:pPr>
            <w:r>
              <w:rPr>
                <w:rFonts w:hint="eastAsia"/>
                <w:b/>
                <w:bCs/>
                <w:color w:val="000000"/>
                <w:kern w:val="0"/>
                <w:szCs w:val="21"/>
              </w:rPr>
              <w:t>年份</w:t>
            </w:r>
          </w:p>
        </w:tc>
        <w:tc>
          <w:tcPr>
            <w:tcW w:w="1679" w:type="dxa"/>
            <w:shd w:val="clear" w:color="auto" w:fill="auto"/>
            <w:tcMar>
              <w:top w:w="15" w:type="dxa"/>
              <w:left w:w="15" w:type="dxa"/>
              <w:bottom w:w="0" w:type="dxa"/>
              <w:right w:w="15" w:type="dxa"/>
            </w:tcMar>
            <w:vAlign w:val="center"/>
          </w:tcPr>
          <w:p>
            <w:pPr>
              <w:jc w:val="center"/>
              <w:rPr>
                <w:b/>
                <w:color w:val="000000"/>
                <w:szCs w:val="21"/>
              </w:rPr>
            </w:pPr>
            <w:r>
              <w:rPr>
                <w:rFonts w:hint="eastAsia"/>
                <w:b/>
                <w:color w:val="000000"/>
                <w:szCs w:val="21"/>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1879" w:type="dxa"/>
            <w:shd w:val="clear" w:color="auto" w:fill="auto"/>
            <w:tcMar>
              <w:top w:w="15" w:type="dxa"/>
              <w:left w:w="15" w:type="dxa"/>
              <w:bottom w:w="0" w:type="dxa"/>
              <w:right w:w="15" w:type="dxa"/>
            </w:tcMar>
            <w:vAlign w:val="center"/>
          </w:tcPr>
          <w:p>
            <w:pPr>
              <w:widowControl/>
              <w:jc w:val="center"/>
              <w:rPr>
                <w:b/>
                <w:bCs/>
                <w:color w:val="000000"/>
                <w:kern w:val="0"/>
                <w:szCs w:val="21"/>
              </w:rPr>
            </w:pPr>
            <w:r>
              <w:rPr>
                <w:b/>
                <w:bCs/>
                <w:color w:val="000000"/>
                <w:kern w:val="0"/>
                <w:szCs w:val="21"/>
              </w:rPr>
              <w:t>外购电力</w:t>
            </w:r>
          </w:p>
        </w:tc>
        <w:tc>
          <w:tcPr>
            <w:tcW w:w="1679" w:type="dxa"/>
            <w:shd w:val="clear" w:color="auto" w:fill="auto"/>
            <w:tcMar>
              <w:top w:w="15" w:type="dxa"/>
              <w:left w:w="15" w:type="dxa"/>
              <w:bottom w:w="0" w:type="dxa"/>
              <w:right w:w="15" w:type="dxa"/>
            </w:tcMar>
            <w:vAlign w:val="center"/>
          </w:tcPr>
          <w:p>
            <w:pPr>
              <w:jc w:val="center"/>
              <w:rPr>
                <w:rFonts w:hint="default" w:eastAsia="宋体"/>
                <w:color w:val="000000"/>
                <w:szCs w:val="21"/>
                <w:lang w:val="en-US" w:eastAsia="zh-CN"/>
              </w:rPr>
            </w:pPr>
            <w:r>
              <w:rPr>
                <w:rFonts w:hint="eastAsia"/>
                <w:color w:val="000000"/>
                <w:szCs w:val="21"/>
                <w:lang w:val="en-US" w:eastAsia="zh-CN"/>
              </w:rPr>
              <w:t>913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1879" w:type="dxa"/>
            <w:shd w:val="clear" w:color="auto" w:fill="auto"/>
            <w:tcMar>
              <w:top w:w="15" w:type="dxa"/>
              <w:left w:w="15" w:type="dxa"/>
              <w:bottom w:w="0" w:type="dxa"/>
              <w:right w:w="15" w:type="dxa"/>
            </w:tcMar>
            <w:vAlign w:val="center"/>
          </w:tcPr>
          <w:p>
            <w:pPr>
              <w:widowControl/>
              <w:jc w:val="center"/>
              <w:rPr>
                <w:b/>
                <w:bCs/>
                <w:color w:val="000000"/>
                <w:kern w:val="0"/>
                <w:szCs w:val="21"/>
              </w:rPr>
            </w:pPr>
            <w:r>
              <w:rPr>
                <w:b/>
                <w:bCs/>
                <w:color w:val="000000"/>
                <w:kern w:val="0"/>
                <w:szCs w:val="21"/>
              </w:rPr>
              <w:t>外供电力</w:t>
            </w:r>
          </w:p>
        </w:tc>
        <w:tc>
          <w:tcPr>
            <w:tcW w:w="1679" w:type="dxa"/>
            <w:shd w:val="clear" w:color="auto" w:fill="auto"/>
            <w:tcMar>
              <w:top w:w="15" w:type="dxa"/>
              <w:left w:w="15" w:type="dxa"/>
              <w:bottom w:w="0" w:type="dxa"/>
              <w:right w:w="15" w:type="dxa"/>
            </w:tcMar>
            <w:vAlign w:val="center"/>
          </w:tcPr>
          <w:p>
            <w:pPr>
              <w:widowControl/>
              <w:jc w:val="center"/>
              <w:rPr>
                <w:color w:val="000000"/>
                <w:kern w:val="0"/>
                <w:szCs w:val="21"/>
              </w:rPr>
            </w:pPr>
            <w:r>
              <w:rPr>
                <w:rFonts w:hint="eastAsia"/>
                <w:color w:val="000000"/>
                <w:kern w:val="0"/>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1879" w:type="dxa"/>
            <w:shd w:val="clear" w:color="auto" w:fill="auto"/>
            <w:tcMar>
              <w:top w:w="15" w:type="dxa"/>
              <w:left w:w="15" w:type="dxa"/>
              <w:bottom w:w="0" w:type="dxa"/>
              <w:right w:w="15" w:type="dxa"/>
            </w:tcMar>
            <w:vAlign w:val="center"/>
          </w:tcPr>
          <w:p>
            <w:pPr>
              <w:widowControl/>
              <w:jc w:val="center"/>
              <w:rPr>
                <w:b/>
                <w:bCs/>
                <w:color w:val="000000"/>
                <w:kern w:val="0"/>
                <w:szCs w:val="21"/>
              </w:rPr>
            </w:pPr>
            <w:r>
              <w:rPr>
                <w:b/>
                <w:bCs/>
                <w:color w:val="000000"/>
                <w:kern w:val="0"/>
                <w:szCs w:val="21"/>
              </w:rPr>
              <w:t>净购入电力</w:t>
            </w:r>
          </w:p>
        </w:tc>
        <w:tc>
          <w:tcPr>
            <w:tcW w:w="1679" w:type="dxa"/>
            <w:shd w:val="clear" w:color="auto" w:fill="auto"/>
            <w:tcMar>
              <w:top w:w="15" w:type="dxa"/>
              <w:left w:w="15" w:type="dxa"/>
              <w:bottom w:w="0" w:type="dxa"/>
              <w:right w:w="15" w:type="dxa"/>
            </w:tcMar>
            <w:vAlign w:val="center"/>
          </w:tcPr>
          <w:p>
            <w:pPr>
              <w:widowControl/>
              <w:jc w:val="center"/>
              <w:rPr>
                <w:rFonts w:hint="default" w:eastAsia="宋体"/>
                <w:color w:val="000000"/>
                <w:kern w:val="0"/>
                <w:szCs w:val="21"/>
                <w:lang w:val="en-US" w:eastAsia="zh-CN"/>
              </w:rPr>
            </w:pPr>
            <w:r>
              <w:rPr>
                <w:rFonts w:hint="eastAsia"/>
                <w:color w:val="000000"/>
                <w:kern w:val="0"/>
                <w:szCs w:val="21"/>
                <w:lang w:val="en-US" w:eastAsia="zh-CN"/>
              </w:rPr>
              <w:t>913</w:t>
            </w:r>
          </w:p>
        </w:tc>
      </w:tr>
    </w:tbl>
    <w:p>
      <w:pPr>
        <w:pStyle w:val="66"/>
        <w:spacing w:line="360" w:lineRule="auto"/>
        <w:ind w:firstLine="482"/>
        <w:jc w:val="both"/>
        <w:rPr>
          <w:b/>
          <w:i w:val="0"/>
          <w:color w:val="000000" w:themeColor="text1"/>
          <w:sz w:val="24"/>
          <w:szCs w:val="24"/>
        </w:rPr>
      </w:pPr>
      <w:r>
        <w:rPr>
          <w:b/>
          <w:i w:val="0"/>
          <w:color w:val="000000" w:themeColor="text1"/>
          <w:sz w:val="24"/>
          <w:szCs w:val="24"/>
        </w:rPr>
        <w:t>（2）排放因子数据及来源</w:t>
      </w:r>
    </w:p>
    <w:p>
      <w:pPr>
        <w:spacing w:line="360" w:lineRule="auto"/>
        <w:ind w:firstLine="480" w:firstLineChars="200"/>
        <w:rPr>
          <w:sz w:val="24"/>
        </w:rPr>
      </w:pPr>
      <w:r>
        <w:rPr>
          <w:sz w:val="24"/>
        </w:rPr>
        <w:t>电力排放因子应根据企业生产地址及目前的东北、华北、华东、华中、西北、南方电网划分，选用国家主管部门公布的相应区域电网排放因子进行计算。</w:t>
      </w:r>
    </w:p>
    <w:p>
      <w:pPr>
        <w:spacing w:line="360" w:lineRule="auto"/>
        <w:ind w:firstLine="480" w:firstLineChars="200"/>
        <w:rPr>
          <w:szCs w:val="21"/>
        </w:rPr>
      </w:pPr>
      <w:r>
        <w:rPr>
          <w:sz w:val="24"/>
        </w:rPr>
        <w:t>企业位于山东，外购电来源于华北电网。对于电力排放因子，采用国家发展和改革委员会应对气候变化司组织研究确定的中国区域电网平均二氧化碳排放因子，目前已公布了2010、2011及2012年三年的数据，2013-2015年均采用2012年华北区域电网平均CO</w:t>
      </w:r>
      <w:r>
        <w:rPr>
          <w:sz w:val="24"/>
          <w:vertAlign w:val="subscript"/>
        </w:rPr>
        <w:t>2</w:t>
      </w:r>
      <w:r>
        <w:rPr>
          <w:sz w:val="24"/>
        </w:rPr>
        <w:t>排放因子：0.8843</w:t>
      </w:r>
      <w:r>
        <w:rPr>
          <w:szCs w:val="21"/>
        </w:rPr>
        <w:t>tCO</w:t>
      </w:r>
      <w:r>
        <w:rPr>
          <w:szCs w:val="21"/>
          <w:vertAlign w:val="subscript"/>
        </w:rPr>
        <w:t>2</w:t>
      </w:r>
      <w:r>
        <w:rPr>
          <w:szCs w:val="21"/>
        </w:rPr>
        <w:t>/MWh。</w:t>
      </w:r>
    </w:p>
    <w:p>
      <w:pPr>
        <w:spacing w:line="360" w:lineRule="auto"/>
        <w:ind w:firstLine="480" w:firstLineChars="200"/>
        <w:rPr>
          <w:rFonts w:eastAsiaTheme="minorEastAsia"/>
          <w:b/>
          <w:sz w:val="24"/>
        </w:rPr>
      </w:pPr>
      <w:r>
        <w:rPr>
          <w:rFonts w:eastAsiaTheme="minorEastAsia"/>
          <w:b/>
          <w:sz w:val="24"/>
        </w:rPr>
        <w:t>（3）净购入的电力隐含的CO</w:t>
      </w:r>
      <w:r>
        <w:rPr>
          <w:rFonts w:eastAsiaTheme="minorEastAsia"/>
          <w:b/>
          <w:sz w:val="24"/>
          <w:vertAlign w:val="subscript"/>
        </w:rPr>
        <w:t>2</w:t>
      </w:r>
      <w:r>
        <w:rPr>
          <w:rFonts w:eastAsiaTheme="minorEastAsia"/>
          <w:b/>
          <w:sz w:val="24"/>
        </w:rPr>
        <w:t>排放量核算结果</w:t>
      </w:r>
    </w:p>
    <w:p>
      <w:pPr>
        <w:spacing w:line="360" w:lineRule="auto"/>
        <w:ind w:firstLine="480" w:firstLineChars="200"/>
        <w:rPr>
          <w:b/>
          <w:sz w:val="24"/>
        </w:rPr>
      </w:pPr>
      <w:r>
        <w:rPr>
          <w:sz w:val="24"/>
        </w:rPr>
        <w:t>基于上述数据，企业净购入电力隐含的CO</w:t>
      </w:r>
      <w:r>
        <w:rPr>
          <w:sz w:val="24"/>
          <w:vertAlign w:val="subscript"/>
        </w:rPr>
        <w:t>2</w:t>
      </w:r>
      <w:r>
        <w:rPr>
          <w:sz w:val="24"/>
        </w:rPr>
        <w:t>排放量核算结果如</w:t>
      </w:r>
      <w:r>
        <w:rPr>
          <w:rFonts w:hint="eastAsia"/>
          <w:sz w:val="24"/>
        </w:rPr>
        <w:t>表34所示</w:t>
      </w:r>
      <w:r>
        <w:rPr>
          <w:sz w:val="24"/>
        </w:rPr>
        <w:t>：</w:t>
      </w:r>
    </w:p>
    <w:p>
      <w:pPr>
        <w:pStyle w:val="66"/>
        <w:spacing w:line="360" w:lineRule="auto"/>
        <w:ind w:firstLine="0" w:firstLineChars="0"/>
        <w:jc w:val="center"/>
        <w:rPr>
          <w:i w:val="0"/>
          <w:color w:val="000000" w:themeColor="text1"/>
          <w:sz w:val="24"/>
          <w:szCs w:val="24"/>
        </w:rPr>
      </w:pPr>
      <w:r>
        <w:rPr>
          <w:b/>
          <w:i w:val="0"/>
          <w:color w:val="000000" w:themeColor="text1"/>
          <w:sz w:val="24"/>
          <w:szCs w:val="24"/>
        </w:rPr>
        <w:t>表11 净购入电力隐含的</w:t>
      </w:r>
      <w:r>
        <w:rPr>
          <w:b/>
          <w:i w:val="0"/>
          <w:sz w:val="24"/>
        </w:rPr>
        <w:t>CO</w:t>
      </w:r>
      <w:r>
        <w:rPr>
          <w:b/>
          <w:i w:val="0"/>
          <w:sz w:val="24"/>
          <w:vertAlign w:val="subscript"/>
        </w:rPr>
        <w:t>2</w:t>
      </w:r>
      <w:r>
        <w:rPr>
          <w:b/>
          <w:i w:val="0"/>
          <w:sz w:val="24"/>
        </w:rPr>
        <w:t>排放量核算</w:t>
      </w:r>
      <w:r>
        <w:rPr>
          <w:b/>
          <w:i w:val="0"/>
          <w:color w:val="000000" w:themeColor="text1"/>
          <w:sz w:val="24"/>
          <w:szCs w:val="24"/>
        </w:rPr>
        <w:t>表（单位</w:t>
      </w:r>
      <w:r>
        <w:rPr>
          <w:i w:val="0"/>
          <w:color w:val="000000" w:themeColor="text1"/>
          <w:sz w:val="24"/>
          <w:szCs w:val="24"/>
        </w:rPr>
        <w:t>：</w:t>
      </w:r>
      <w:r>
        <w:rPr>
          <w:b/>
          <w:i w:val="0"/>
          <w:color w:val="000000" w:themeColor="text1"/>
          <w:sz w:val="24"/>
          <w:szCs w:val="24"/>
        </w:rPr>
        <w:t>tCO</w:t>
      </w:r>
      <w:r>
        <w:rPr>
          <w:b/>
          <w:i w:val="0"/>
          <w:color w:val="000000" w:themeColor="text1"/>
          <w:sz w:val="24"/>
          <w:szCs w:val="24"/>
          <w:vertAlign w:val="subscript"/>
        </w:rPr>
        <w:t>2</w:t>
      </w:r>
      <w:r>
        <w:rPr>
          <w:b/>
          <w:i w:val="0"/>
          <w:color w:val="000000" w:themeColor="text1"/>
          <w:sz w:val="24"/>
          <w:szCs w:val="24"/>
        </w:rPr>
        <w:t>e</w:t>
      </w:r>
      <w:r>
        <w:rPr>
          <w:i w:val="0"/>
          <w:color w:val="000000" w:themeColor="text1"/>
          <w:sz w:val="24"/>
          <w:szCs w:val="24"/>
        </w:rPr>
        <w:t>）</w:t>
      </w:r>
    </w:p>
    <w:tbl>
      <w:tblPr>
        <w:tblStyle w:val="30"/>
        <w:tblW w:w="3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43"/>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2143" w:type="dxa"/>
            <w:shd w:val="clear" w:color="auto" w:fill="auto"/>
            <w:tcMar>
              <w:top w:w="15" w:type="dxa"/>
              <w:left w:w="15" w:type="dxa"/>
              <w:bottom w:w="0" w:type="dxa"/>
              <w:right w:w="15" w:type="dxa"/>
            </w:tcMar>
            <w:vAlign w:val="center"/>
          </w:tcPr>
          <w:p>
            <w:pPr>
              <w:widowControl/>
              <w:jc w:val="center"/>
              <w:rPr>
                <w:rFonts w:eastAsiaTheme="minorEastAsia"/>
                <w:b/>
                <w:bCs/>
                <w:color w:val="000000"/>
                <w:kern w:val="0"/>
                <w:szCs w:val="21"/>
              </w:rPr>
            </w:pPr>
            <w:r>
              <w:rPr>
                <w:rFonts w:eastAsiaTheme="minorEastAsia"/>
                <w:b/>
                <w:bCs/>
                <w:color w:val="000000"/>
                <w:kern w:val="0"/>
                <w:szCs w:val="21"/>
              </w:rPr>
              <w:t>年份</w:t>
            </w:r>
          </w:p>
        </w:tc>
        <w:tc>
          <w:tcPr>
            <w:tcW w:w="1732" w:type="dxa"/>
            <w:shd w:val="clear" w:color="auto" w:fill="auto"/>
            <w:tcMar>
              <w:top w:w="15" w:type="dxa"/>
              <w:left w:w="15" w:type="dxa"/>
              <w:bottom w:w="0" w:type="dxa"/>
              <w:right w:w="15" w:type="dxa"/>
            </w:tcMar>
            <w:vAlign w:val="center"/>
          </w:tcPr>
          <w:p>
            <w:pPr>
              <w:widowControl/>
              <w:jc w:val="center"/>
              <w:rPr>
                <w:rFonts w:eastAsiaTheme="minorEastAsia"/>
                <w:color w:val="000000"/>
                <w:kern w:val="0"/>
                <w:szCs w:val="21"/>
              </w:rPr>
            </w:pPr>
            <w:r>
              <w:rPr>
                <w:rFonts w:eastAsiaTheme="minorEastAsia"/>
                <w:b/>
                <w:color w:val="000000"/>
                <w:kern w:val="0"/>
                <w:szCs w:val="21"/>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2143" w:type="dxa"/>
            <w:shd w:val="clear" w:color="auto" w:fill="auto"/>
            <w:tcMar>
              <w:top w:w="15" w:type="dxa"/>
              <w:left w:w="15" w:type="dxa"/>
              <w:bottom w:w="0" w:type="dxa"/>
              <w:right w:w="15" w:type="dxa"/>
            </w:tcMar>
            <w:vAlign w:val="center"/>
          </w:tcPr>
          <w:p>
            <w:pPr>
              <w:widowControl/>
              <w:jc w:val="center"/>
              <w:rPr>
                <w:rFonts w:eastAsiaTheme="minorEastAsia"/>
                <w:b/>
                <w:bCs/>
                <w:color w:val="000000"/>
                <w:kern w:val="0"/>
                <w:szCs w:val="21"/>
              </w:rPr>
            </w:pPr>
            <w:r>
              <w:rPr>
                <w:rFonts w:eastAsiaTheme="minorEastAsia"/>
                <w:b/>
                <w:bCs/>
                <w:color w:val="000000"/>
                <w:kern w:val="0"/>
                <w:szCs w:val="21"/>
              </w:rPr>
              <w:t>购入电力排放量</w:t>
            </w:r>
          </w:p>
        </w:tc>
        <w:tc>
          <w:tcPr>
            <w:tcW w:w="1732" w:type="dxa"/>
            <w:shd w:val="clear" w:color="auto" w:fill="auto"/>
            <w:tcMar>
              <w:top w:w="15" w:type="dxa"/>
              <w:left w:w="15" w:type="dxa"/>
              <w:bottom w:w="0" w:type="dxa"/>
              <w:right w:w="15" w:type="dxa"/>
            </w:tcMar>
            <w:vAlign w:val="center"/>
          </w:tcPr>
          <w:p>
            <w:pPr>
              <w:jc w:val="center"/>
              <w:rPr>
                <w:rFonts w:hint="default" w:eastAsiaTheme="minorEastAsia"/>
                <w:color w:val="000000"/>
                <w:sz w:val="24"/>
                <w:lang w:val="en-US" w:eastAsia="zh-CN"/>
              </w:rPr>
            </w:pPr>
            <w:r>
              <w:rPr>
                <w:rFonts w:hint="eastAsia" w:eastAsiaTheme="minorEastAsia"/>
                <w:color w:val="000000"/>
                <w:sz w:val="24"/>
                <w:lang w:val="en-US" w:eastAsia="zh-CN"/>
              </w:rPr>
              <w:t>807.37</w:t>
            </w:r>
          </w:p>
        </w:tc>
      </w:tr>
    </w:tbl>
    <w:p>
      <w:pPr>
        <w:pStyle w:val="60"/>
        <w:spacing w:line="360" w:lineRule="auto"/>
        <w:rPr>
          <w:b w:val="0"/>
        </w:rPr>
      </w:pPr>
      <w:bookmarkStart w:id="27" w:name="_Toc512074779"/>
      <w:r>
        <w:rPr>
          <w:b w:val="0"/>
        </w:rPr>
        <w:t>2.4排放量核算</w:t>
      </w:r>
      <w:bookmarkEnd w:id="27"/>
    </w:p>
    <w:p>
      <w:pPr>
        <w:pStyle w:val="60"/>
        <w:spacing w:line="360" w:lineRule="auto"/>
        <w:outlineLvl w:val="2"/>
        <w:rPr>
          <w:rFonts w:eastAsia="宋体"/>
          <w:sz w:val="24"/>
        </w:rPr>
      </w:pPr>
      <w:bookmarkStart w:id="28" w:name="_Toc512074780"/>
      <w:r>
        <w:rPr>
          <w:rFonts w:eastAsia="宋体"/>
          <w:sz w:val="24"/>
        </w:rPr>
        <w:t>2.4.1 排放量汇总</w:t>
      </w:r>
      <w:bookmarkEnd w:id="28"/>
    </w:p>
    <w:p>
      <w:pPr>
        <w:pStyle w:val="66"/>
        <w:spacing w:line="360" w:lineRule="auto"/>
        <w:ind w:firstLine="0" w:firstLineChars="0"/>
        <w:jc w:val="center"/>
        <w:rPr>
          <w:b/>
          <w:i w:val="0"/>
          <w:color w:val="000000" w:themeColor="text1"/>
          <w:sz w:val="24"/>
          <w:szCs w:val="24"/>
        </w:rPr>
      </w:pPr>
      <w:bookmarkStart w:id="29" w:name="_Toc424499123"/>
      <w:r>
        <w:rPr>
          <w:b/>
          <w:i w:val="0"/>
          <w:color w:val="000000" w:themeColor="text1"/>
          <w:sz w:val="24"/>
          <w:szCs w:val="24"/>
        </w:rPr>
        <w:t>表12  2018年度排放量汇总（单位：tCO</w:t>
      </w:r>
      <w:r>
        <w:rPr>
          <w:b/>
          <w:i w:val="0"/>
          <w:color w:val="000000" w:themeColor="text1"/>
          <w:sz w:val="24"/>
          <w:szCs w:val="24"/>
          <w:vertAlign w:val="subscript"/>
        </w:rPr>
        <w:t>2</w:t>
      </w:r>
      <w:r>
        <w:rPr>
          <w:b/>
          <w:i w:val="0"/>
          <w:color w:val="000000" w:themeColor="text1"/>
          <w:sz w:val="24"/>
          <w:szCs w:val="24"/>
        </w:rPr>
        <w:t>）</w:t>
      </w:r>
    </w:p>
    <w:tbl>
      <w:tblPr>
        <w:tblStyle w:val="30"/>
        <w:tblW w:w="7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33"/>
        <w:gridCol w:w="3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8" w:hRule="atLeast"/>
          <w:jc w:val="center"/>
        </w:trPr>
        <w:tc>
          <w:tcPr>
            <w:tcW w:w="4033" w:type="dxa"/>
            <w:shd w:val="clear" w:color="auto" w:fill="auto"/>
            <w:tcMar>
              <w:top w:w="15" w:type="dxa"/>
              <w:left w:w="15" w:type="dxa"/>
              <w:bottom w:w="0" w:type="dxa"/>
              <w:right w:w="15" w:type="dxa"/>
            </w:tcMar>
            <w:vAlign w:val="center"/>
          </w:tcPr>
          <w:p>
            <w:pPr>
              <w:widowControl/>
              <w:jc w:val="center"/>
              <w:rPr>
                <w:rFonts w:eastAsiaTheme="minorEastAsia"/>
                <w:b/>
                <w:bCs/>
                <w:color w:val="000000"/>
                <w:kern w:val="0"/>
                <w:szCs w:val="21"/>
              </w:rPr>
            </w:pPr>
            <w:r>
              <w:rPr>
                <w:rFonts w:hint="eastAsia" w:eastAsiaTheme="minorEastAsia"/>
                <w:b/>
                <w:bCs/>
                <w:color w:val="000000"/>
                <w:kern w:val="0"/>
                <w:szCs w:val="21"/>
              </w:rPr>
              <w:t>年份</w:t>
            </w:r>
          </w:p>
        </w:tc>
        <w:tc>
          <w:tcPr>
            <w:tcW w:w="3066" w:type="dxa"/>
            <w:shd w:val="clear" w:color="auto" w:fill="auto"/>
            <w:tcMar>
              <w:top w:w="15" w:type="dxa"/>
              <w:left w:w="15" w:type="dxa"/>
              <w:bottom w:w="0" w:type="dxa"/>
              <w:right w:w="15" w:type="dxa"/>
            </w:tcMar>
            <w:vAlign w:val="center"/>
          </w:tcPr>
          <w:p>
            <w:pPr>
              <w:widowControl/>
              <w:jc w:val="center"/>
              <w:rPr>
                <w:rFonts w:eastAsiaTheme="minorEastAsia"/>
                <w:b/>
                <w:color w:val="000000"/>
                <w:kern w:val="0"/>
                <w:szCs w:val="21"/>
              </w:rPr>
            </w:pPr>
            <w:r>
              <w:rPr>
                <w:rFonts w:eastAsiaTheme="minorEastAsia"/>
                <w:b/>
                <w:color w:val="000000"/>
                <w:kern w:val="0"/>
                <w:szCs w:val="21"/>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4" w:hRule="atLeast"/>
          <w:jc w:val="center"/>
        </w:trPr>
        <w:tc>
          <w:tcPr>
            <w:tcW w:w="4033" w:type="dxa"/>
            <w:shd w:val="clear" w:color="auto" w:fill="auto"/>
            <w:tcMar>
              <w:top w:w="15" w:type="dxa"/>
              <w:left w:w="15" w:type="dxa"/>
              <w:bottom w:w="0" w:type="dxa"/>
              <w:right w:w="15" w:type="dxa"/>
            </w:tcMar>
            <w:vAlign w:val="center"/>
          </w:tcPr>
          <w:p>
            <w:pPr>
              <w:widowControl/>
              <w:jc w:val="center"/>
              <w:rPr>
                <w:rFonts w:eastAsiaTheme="minorEastAsia"/>
                <w:b/>
                <w:bCs/>
                <w:color w:val="000000"/>
                <w:kern w:val="0"/>
                <w:szCs w:val="21"/>
              </w:rPr>
            </w:pPr>
            <w:r>
              <w:rPr>
                <w:rFonts w:eastAsiaTheme="minorEastAsia"/>
                <w:b/>
                <w:szCs w:val="21"/>
              </w:rPr>
              <w:t>净购入电力</w:t>
            </w:r>
          </w:p>
        </w:tc>
        <w:tc>
          <w:tcPr>
            <w:tcW w:w="3066" w:type="dxa"/>
            <w:shd w:val="clear" w:color="auto" w:fill="auto"/>
            <w:tcMar>
              <w:top w:w="15" w:type="dxa"/>
              <w:left w:w="15" w:type="dxa"/>
              <w:bottom w:w="0" w:type="dxa"/>
              <w:right w:w="15" w:type="dxa"/>
            </w:tcMar>
            <w:vAlign w:val="center"/>
          </w:tcPr>
          <w:p>
            <w:pPr>
              <w:widowControl/>
              <w:jc w:val="center"/>
              <w:rPr>
                <w:rFonts w:hint="default" w:eastAsiaTheme="minorEastAsia"/>
                <w:color w:val="000000"/>
                <w:kern w:val="0"/>
                <w:szCs w:val="21"/>
                <w:lang w:val="en-US" w:eastAsia="zh-CN"/>
              </w:rPr>
            </w:pPr>
            <w:r>
              <w:rPr>
                <w:rFonts w:hint="eastAsia" w:eastAsiaTheme="minorEastAsia"/>
                <w:color w:val="000000"/>
                <w:sz w:val="24"/>
                <w:lang w:val="en-US" w:eastAsia="zh-CN"/>
              </w:rPr>
              <w:t>807.37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4033" w:type="dxa"/>
            <w:shd w:val="clear" w:color="auto" w:fill="auto"/>
            <w:tcMar>
              <w:top w:w="15" w:type="dxa"/>
              <w:left w:w="15" w:type="dxa"/>
              <w:bottom w:w="0" w:type="dxa"/>
              <w:right w:w="15" w:type="dxa"/>
            </w:tcMar>
            <w:vAlign w:val="center"/>
          </w:tcPr>
          <w:p>
            <w:pPr>
              <w:widowControl/>
              <w:jc w:val="center"/>
              <w:rPr>
                <w:rFonts w:eastAsiaTheme="minorEastAsia"/>
                <w:b/>
                <w:bCs/>
                <w:color w:val="000000"/>
                <w:kern w:val="0"/>
                <w:szCs w:val="21"/>
              </w:rPr>
            </w:pPr>
            <w:r>
              <w:rPr>
                <w:rFonts w:eastAsiaTheme="minorEastAsia"/>
                <w:b/>
                <w:bCs/>
                <w:color w:val="000000"/>
                <w:kern w:val="0"/>
                <w:szCs w:val="21"/>
              </w:rPr>
              <w:t>合计</w:t>
            </w:r>
          </w:p>
        </w:tc>
        <w:tc>
          <w:tcPr>
            <w:tcW w:w="3066" w:type="dxa"/>
            <w:shd w:val="clear" w:color="auto" w:fill="auto"/>
            <w:tcMar>
              <w:top w:w="15" w:type="dxa"/>
              <w:left w:w="15" w:type="dxa"/>
              <w:bottom w:w="0" w:type="dxa"/>
              <w:right w:w="15" w:type="dxa"/>
            </w:tcMar>
          </w:tcPr>
          <w:p>
            <w:pPr>
              <w:jc w:val="center"/>
              <w:rPr>
                <w:rFonts w:hint="default" w:eastAsiaTheme="minorEastAsia"/>
                <w:sz w:val="24"/>
                <w:lang w:val="en-US" w:eastAsia="zh-CN"/>
              </w:rPr>
            </w:pPr>
            <w:r>
              <w:rPr>
                <w:rFonts w:hint="eastAsia" w:eastAsiaTheme="minorEastAsia"/>
                <w:sz w:val="24"/>
                <w:lang w:val="en-US" w:eastAsia="zh-CN"/>
              </w:rPr>
              <w:t>807.37</w:t>
            </w:r>
          </w:p>
        </w:tc>
      </w:tr>
      <w:bookmarkEnd w:id="29"/>
    </w:tbl>
    <w:p>
      <w:pPr>
        <w:spacing w:line="360" w:lineRule="auto"/>
        <w:rPr>
          <w:rFonts w:hint="eastAsia"/>
          <w:b w:val="0"/>
          <w:sz w:val="28"/>
          <w:szCs w:val="28"/>
        </w:rPr>
      </w:pPr>
      <w:bookmarkStart w:id="30" w:name="_Toc423875517"/>
      <w:bookmarkStart w:id="31" w:name="_Toc424499125"/>
      <w:bookmarkStart w:id="32" w:name="_Toc512074781"/>
    </w:p>
    <w:p>
      <w:pPr>
        <w:spacing w:line="360" w:lineRule="auto"/>
        <w:rPr>
          <w:b w:val="0"/>
          <w:sz w:val="28"/>
          <w:szCs w:val="28"/>
        </w:rPr>
      </w:pPr>
      <w:r>
        <w:rPr>
          <w:rFonts w:hint="eastAsia"/>
          <w:b w:val="0"/>
          <w:sz w:val="28"/>
          <w:szCs w:val="28"/>
        </w:rPr>
        <w:t>三</w:t>
      </w:r>
      <w:r>
        <w:rPr>
          <w:b w:val="0"/>
          <w:sz w:val="28"/>
          <w:szCs w:val="28"/>
        </w:rPr>
        <w:t>、</w:t>
      </w:r>
      <w:bookmarkEnd w:id="30"/>
      <w:bookmarkEnd w:id="31"/>
      <w:r>
        <w:rPr>
          <w:b w:val="0"/>
          <w:sz w:val="28"/>
          <w:szCs w:val="28"/>
        </w:rPr>
        <w:t>盘查结论</w:t>
      </w:r>
      <w:bookmarkEnd w:id="32"/>
    </w:p>
    <w:p>
      <w:pPr>
        <w:pStyle w:val="60"/>
        <w:spacing w:beforeLines="50" w:line="360" w:lineRule="auto"/>
        <w:rPr>
          <w:b w:val="0"/>
        </w:rPr>
      </w:pPr>
      <w:bookmarkStart w:id="33" w:name="_Toc512074782"/>
      <w:r>
        <w:rPr>
          <w:b w:val="0"/>
        </w:rPr>
        <w:t>3.1 排放量结果</w:t>
      </w:r>
      <w:bookmarkEnd w:id="33"/>
    </w:p>
    <w:p>
      <w:pPr>
        <w:spacing w:line="360" w:lineRule="auto"/>
        <w:ind w:firstLine="480" w:firstLineChars="200"/>
        <w:rPr>
          <w:sz w:val="24"/>
        </w:rPr>
      </w:pPr>
      <w:r>
        <w:rPr>
          <w:sz w:val="24"/>
        </w:rPr>
        <w:t>企业2018年CO</w:t>
      </w:r>
      <w:r>
        <w:rPr>
          <w:sz w:val="24"/>
          <w:vertAlign w:val="subscript"/>
        </w:rPr>
        <w:t>2</w:t>
      </w:r>
      <w:r>
        <w:rPr>
          <w:sz w:val="24"/>
        </w:rPr>
        <w:t>排放总量情况如下：</w:t>
      </w:r>
    </w:p>
    <w:tbl>
      <w:tblPr>
        <w:tblStyle w:val="30"/>
        <w:tblW w:w="3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45"/>
        <w:gridCol w:w="1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9" w:hRule="atLeast"/>
          <w:jc w:val="center"/>
        </w:trPr>
        <w:tc>
          <w:tcPr>
            <w:tcW w:w="2145" w:type="dxa"/>
            <w:shd w:val="clear" w:color="auto" w:fill="auto"/>
            <w:tcMar>
              <w:top w:w="15" w:type="dxa"/>
              <w:left w:w="15" w:type="dxa"/>
              <w:bottom w:w="0" w:type="dxa"/>
              <w:right w:w="15" w:type="dxa"/>
            </w:tcMar>
            <w:vAlign w:val="center"/>
          </w:tcPr>
          <w:p>
            <w:pPr>
              <w:widowControl/>
              <w:jc w:val="center"/>
              <w:rPr>
                <w:rFonts w:eastAsiaTheme="minorEastAsia"/>
                <w:b/>
                <w:bCs/>
                <w:color w:val="000000"/>
                <w:kern w:val="0"/>
                <w:szCs w:val="21"/>
              </w:rPr>
            </w:pPr>
            <w:r>
              <w:rPr>
                <w:rFonts w:hint="eastAsia" w:eastAsiaTheme="minorEastAsia"/>
                <w:b/>
                <w:bCs/>
                <w:color w:val="000000"/>
                <w:kern w:val="0"/>
                <w:szCs w:val="21"/>
              </w:rPr>
              <w:t>年份</w:t>
            </w:r>
          </w:p>
        </w:tc>
        <w:tc>
          <w:tcPr>
            <w:tcW w:w="1720" w:type="dxa"/>
            <w:shd w:val="clear" w:color="auto" w:fill="auto"/>
            <w:tcMar>
              <w:top w:w="15" w:type="dxa"/>
              <w:left w:w="15" w:type="dxa"/>
              <w:bottom w:w="0" w:type="dxa"/>
              <w:right w:w="15" w:type="dxa"/>
            </w:tcMar>
            <w:vAlign w:val="center"/>
          </w:tcPr>
          <w:p>
            <w:pPr>
              <w:widowControl/>
              <w:jc w:val="center"/>
              <w:rPr>
                <w:rFonts w:eastAsiaTheme="minorEastAsia"/>
                <w:b/>
                <w:color w:val="000000"/>
                <w:kern w:val="0"/>
                <w:szCs w:val="21"/>
              </w:rPr>
            </w:pPr>
            <w:r>
              <w:rPr>
                <w:rFonts w:eastAsiaTheme="minorEastAsia"/>
                <w:b/>
                <w:color w:val="000000"/>
                <w:kern w:val="0"/>
                <w:szCs w:val="21"/>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2145" w:type="dxa"/>
            <w:shd w:val="clear" w:color="auto" w:fill="auto"/>
            <w:tcMar>
              <w:top w:w="15" w:type="dxa"/>
              <w:left w:w="15" w:type="dxa"/>
              <w:bottom w:w="0" w:type="dxa"/>
              <w:right w:w="15" w:type="dxa"/>
            </w:tcMar>
            <w:vAlign w:val="center"/>
          </w:tcPr>
          <w:p>
            <w:pPr>
              <w:widowControl/>
              <w:jc w:val="center"/>
              <w:rPr>
                <w:rFonts w:eastAsiaTheme="minorEastAsia"/>
                <w:b/>
                <w:bCs/>
                <w:color w:val="000000"/>
                <w:kern w:val="0"/>
                <w:szCs w:val="21"/>
              </w:rPr>
            </w:pPr>
            <w:r>
              <w:rPr>
                <w:rFonts w:eastAsiaTheme="minorEastAsia"/>
                <w:b/>
                <w:szCs w:val="21"/>
              </w:rPr>
              <w:t>净购入电力和热力</w:t>
            </w:r>
          </w:p>
        </w:tc>
        <w:tc>
          <w:tcPr>
            <w:tcW w:w="1720" w:type="dxa"/>
            <w:shd w:val="clear" w:color="auto" w:fill="auto"/>
            <w:tcMar>
              <w:top w:w="15" w:type="dxa"/>
              <w:left w:w="15" w:type="dxa"/>
              <w:bottom w:w="0" w:type="dxa"/>
              <w:right w:w="15" w:type="dxa"/>
            </w:tcMar>
            <w:vAlign w:val="center"/>
          </w:tcPr>
          <w:p>
            <w:pPr>
              <w:widowControl/>
              <w:jc w:val="center"/>
              <w:rPr>
                <w:rFonts w:eastAsiaTheme="minorEastAsia"/>
                <w:color w:val="000000"/>
                <w:kern w:val="0"/>
                <w:szCs w:val="21"/>
              </w:rPr>
            </w:pPr>
            <w:r>
              <w:rPr>
                <w:rFonts w:hint="eastAsia" w:eastAsiaTheme="minorEastAsia"/>
                <w:sz w:val="24"/>
                <w:lang w:val="en-US" w:eastAsia="zh-CN"/>
              </w:rPr>
              <w:t>807.37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6" w:hRule="atLeast"/>
          <w:jc w:val="center"/>
        </w:trPr>
        <w:tc>
          <w:tcPr>
            <w:tcW w:w="2145" w:type="dxa"/>
            <w:shd w:val="clear" w:color="auto" w:fill="auto"/>
            <w:tcMar>
              <w:top w:w="15" w:type="dxa"/>
              <w:left w:w="15" w:type="dxa"/>
              <w:bottom w:w="0" w:type="dxa"/>
              <w:right w:w="15" w:type="dxa"/>
            </w:tcMar>
            <w:vAlign w:val="center"/>
          </w:tcPr>
          <w:p>
            <w:pPr>
              <w:widowControl/>
              <w:jc w:val="center"/>
              <w:rPr>
                <w:rFonts w:eastAsiaTheme="minorEastAsia"/>
                <w:b/>
                <w:bCs/>
                <w:color w:val="000000"/>
                <w:kern w:val="0"/>
                <w:szCs w:val="21"/>
              </w:rPr>
            </w:pPr>
            <w:r>
              <w:rPr>
                <w:rFonts w:eastAsiaTheme="minorEastAsia"/>
                <w:b/>
                <w:bCs/>
                <w:color w:val="000000"/>
                <w:kern w:val="0"/>
                <w:szCs w:val="21"/>
              </w:rPr>
              <w:t>合计</w:t>
            </w:r>
          </w:p>
        </w:tc>
        <w:tc>
          <w:tcPr>
            <w:tcW w:w="1720" w:type="dxa"/>
            <w:shd w:val="clear" w:color="auto" w:fill="auto"/>
            <w:tcMar>
              <w:top w:w="15" w:type="dxa"/>
              <w:left w:w="15" w:type="dxa"/>
              <w:bottom w:w="0" w:type="dxa"/>
              <w:right w:w="15" w:type="dxa"/>
            </w:tcMar>
          </w:tcPr>
          <w:p>
            <w:pPr>
              <w:jc w:val="center"/>
              <w:rPr>
                <w:rFonts w:eastAsiaTheme="minorEastAsia"/>
                <w:sz w:val="24"/>
              </w:rPr>
            </w:pPr>
            <w:r>
              <w:rPr>
                <w:rFonts w:hint="eastAsia" w:eastAsiaTheme="minorEastAsia"/>
                <w:sz w:val="24"/>
                <w:lang w:val="en-US" w:eastAsia="zh-CN"/>
              </w:rPr>
              <w:t>807.37</w:t>
            </w:r>
          </w:p>
        </w:tc>
      </w:tr>
    </w:tbl>
    <w:p>
      <w:pPr>
        <w:spacing w:line="360" w:lineRule="auto"/>
        <w:ind w:firstLine="480" w:firstLineChars="200"/>
        <w:rPr>
          <w:sz w:val="24"/>
        </w:rPr>
      </w:pPr>
      <w:r>
        <w:rPr>
          <w:sz w:val="24"/>
        </w:rPr>
        <w:t>企业CO</w:t>
      </w:r>
      <w:r>
        <w:rPr>
          <w:sz w:val="24"/>
          <w:vertAlign w:val="subscript"/>
        </w:rPr>
        <w:t>2</w:t>
      </w:r>
      <w:r>
        <w:rPr>
          <w:sz w:val="24"/>
        </w:rPr>
        <w:t>排放主要由燃烧过程以及</w:t>
      </w:r>
      <w:r>
        <w:rPr>
          <w:rFonts w:hint="eastAsia"/>
          <w:sz w:val="24"/>
        </w:rPr>
        <w:t>熔炼</w:t>
      </w:r>
      <w:r>
        <w:rPr>
          <w:sz w:val="24"/>
        </w:rPr>
        <w:t>工艺生产过程产生。</w:t>
      </w:r>
    </w:p>
    <w:p>
      <w:pPr>
        <w:pStyle w:val="60"/>
        <w:spacing w:beforeLines="50" w:line="360" w:lineRule="auto"/>
        <w:rPr>
          <w:b w:val="0"/>
        </w:rPr>
      </w:pPr>
      <w:bookmarkStart w:id="34" w:name="_Toc512074783"/>
      <w:r>
        <w:rPr>
          <w:b w:val="0"/>
        </w:rPr>
        <w:t>3.2 现状及建议</w:t>
      </w:r>
      <w:bookmarkEnd w:id="34"/>
    </w:p>
    <w:p>
      <w:pPr>
        <w:pStyle w:val="60"/>
        <w:spacing w:line="360" w:lineRule="auto"/>
        <w:outlineLvl w:val="2"/>
        <w:rPr>
          <w:rFonts w:eastAsia="宋体"/>
          <w:sz w:val="24"/>
        </w:rPr>
      </w:pPr>
      <w:bookmarkStart w:id="35" w:name="_Toc512074784"/>
      <w:r>
        <w:rPr>
          <w:rFonts w:eastAsia="宋体"/>
          <w:sz w:val="24"/>
        </w:rPr>
        <w:t>3.2.1现状</w:t>
      </w:r>
      <w:bookmarkEnd w:id="35"/>
    </w:p>
    <w:p>
      <w:pPr>
        <w:spacing w:line="360" w:lineRule="auto"/>
        <w:ind w:firstLine="480" w:firstLineChars="200"/>
        <w:rPr>
          <w:sz w:val="24"/>
        </w:rPr>
      </w:pPr>
      <w:r>
        <w:rPr>
          <w:sz w:val="24"/>
        </w:rPr>
        <w:t>排放量层面，企业2018年所有装置均正常运行，受产量降低的影响，总体来说二氧化碳的排放量受企业当年产量影响较大。未来因为环境因素的制约，企业的排放量变化会随着产量的提升而有所上升。</w:t>
      </w:r>
    </w:p>
    <w:p>
      <w:pPr>
        <w:spacing w:line="360" w:lineRule="auto"/>
        <w:ind w:firstLine="480" w:firstLineChars="200"/>
        <w:rPr>
          <w:sz w:val="24"/>
        </w:rPr>
      </w:pPr>
      <w:r>
        <w:rPr>
          <w:sz w:val="24"/>
        </w:rPr>
        <w:t>数据质量管理层面，企业在企业温室气体排放核算和报告规章制度、设备监测、数据记录管理体系和排放报告内部审核制度等方面均有待完善。</w:t>
      </w:r>
    </w:p>
    <w:p>
      <w:pPr>
        <w:pStyle w:val="60"/>
        <w:spacing w:line="360" w:lineRule="auto"/>
        <w:outlineLvl w:val="2"/>
        <w:rPr>
          <w:rFonts w:eastAsia="宋体"/>
          <w:sz w:val="24"/>
        </w:rPr>
      </w:pPr>
      <w:bookmarkStart w:id="36" w:name="_Toc512074785"/>
      <w:r>
        <w:rPr>
          <w:rFonts w:eastAsia="宋体"/>
          <w:sz w:val="24"/>
        </w:rPr>
        <w:t>3.2.2建议</w:t>
      </w:r>
      <w:bookmarkEnd w:id="36"/>
    </w:p>
    <w:p>
      <w:pPr>
        <w:spacing w:line="360" w:lineRule="auto"/>
        <w:ind w:firstLine="480" w:firstLineChars="200"/>
      </w:pPr>
      <w:r>
        <w:rPr>
          <w:sz w:val="24"/>
        </w:rPr>
        <w:t>除了数据核算活动方面的相关建议外，建议</w:t>
      </w:r>
      <w:r>
        <w:rPr>
          <w:rFonts w:hint="eastAsia"/>
          <w:sz w:val="24"/>
        </w:rPr>
        <w:t>使用</w:t>
      </w:r>
      <w:r>
        <w:rPr>
          <w:sz w:val="24"/>
        </w:rPr>
        <w:t>经济性较优的减排技术的运用，比如能效提升、运行手段优化等</w:t>
      </w:r>
      <w:r>
        <w:rPr>
          <w:rFonts w:hint="eastAsia"/>
          <w:sz w:val="24"/>
        </w:rPr>
        <w:t>。</w:t>
      </w:r>
    </w:p>
    <w:sectPr>
      <w:footerReference r:id="rId10" w:type="default"/>
      <w:pgSz w:w="11906" w:h="16838"/>
      <w:pgMar w:top="1440" w:right="1797" w:bottom="1440" w:left="1797" w:header="851" w:footer="992" w:gutter="0"/>
      <w:pgNumType w:fmt="numberInDash"/>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Calibri Light">
    <w:panose1 w:val="020F0302020204030204"/>
    <w:charset w:val="00"/>
    <w:family w:val="swiss"/>
    <w:pitch w:val="default"/>
    <w:sig w:usb0="A00002EF" w:usb1="4000207B" w:usb2="00000000" w:usb3="00000000" w:csb0="2000019F" w:csb1="00000000"/>
  </w:font>
  <w:font w:name="PMingLiU">
    <w:panose1 w:val="02020500000000000000"/>
    <w:charset w:val="88"/>
    <w:family w:val="roman"/>
    <w:pitch w:val="default"/>
    <w:sig w:usb0="A00002FF" w:usb1="28CFFCFA"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1"/>
    <w:family w:val="roman"/>
    <w:pitch w:val="default"/>
    <w:sig w:usb0="A00002EF" w:usb1="420020EB" w:usb2="00000000" w:usb3="00000000" w:csb0="200000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6499997"/>
    </w:sdtPr>
    <w:sdtContent>
      <w:p>
        <w:pPr>
          <w:pStyle w:val="20"/>
          <w:jc w:val="center"/>
        </w:pPr>
        <w:r>
          <w:fldChar w:fldCharType="begin"/>
        </w:r>
        <w:r>
          <w:instrText xml:space="preserve">PAGE   \* MERGEFORMAT</w:instrText>
        </w:r>
        <w:r>
          <w:fldChar w:fldCharType="separate"/>
        </w:r>
        <w:r>
          <w:rPr>
            <w:lang w:val="zh-CN"/>
          </w:rPr>
          <w:t>-</w:t>
        </w:r>
        <w:r>
          <w:t xml:space="preserve"> 7 -</w:t>
        </w:r>
        <w:r>
          <w:fldChar w:fldCharType="end"/>
        </w:r>
      </w:p>
    </w:sdtContent>
  </w:sdt>
  <w:p>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1778295"/>
    </w:sdtPr>
    <w:sdtContent>
      <w:p>
        <w:pPr>
          <w:pStyle w:val="20"/>
          <w:jc w:val="center"/>
        </w:pPr>
        <w:r>
          <w:fldChar w:fldCharType="begin"/>
        </w:r>
        <w:r>
          <w:instrText xml:space="preserve">PAGE   \* MERGEFORMAT</w:instrText>
        </w:r>
        <w:r>
          <w:fldChar w:fldCharType="separate"/>
        </w:r>
        <w:r>
          <w:rPr>
            <w:lang w:val="zh-CN"/>
          </w:rPr>
          <w:t>-</w:t>
        </w:r>
        <w:r>
          <w:t xml:space="preserve"> 12 -</w:t>
        </w:r>
        <w:r>
          <w:fldChar w:fldCharType="end"/>
        </w:r>
      </w:p>
    </w:sdtContent>
  </w:sdt>
  <w:p>
    <w:pPr>
      <w:pStyle w:val="20"/>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lang w:val="zh-CN"/>
      </w:rPr>
    </w:pPr>
    <w:r>
      <w:rPr>
        <w:lang w:val="zh-CN"/>
      </w:rPr>
      <w:fldChar w:fldCharType="begin"/>
    </w:r>
    <w:r>
      <w:rPr>
        <w:lang w:val="zh-CN"/>
      </w:rPr>
      <w:instrText xml:space="preserve"> PAGE   \* MERGEFORMAT </w:instrText>
    </w:r>
    <w:r>
      <w:rPr>
        <w:lang w:val="zh-CN"/>
      </w:rPr>
      <w:fldChar w:fldCharType="separate"/>
    </w:r>
    <w:r>
      <w:rPr>
        <w:lang w:val="zh-CN"/>
      </w:rPr>
      <w:t>- 11 -</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jc w:val="right"/>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4" w:space="1"/>
      </w:pBdr>
      <w:jc w:val="lef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37299"/>
    <w:multiLevelType w:val="multilevel"/>
    <w:tmpl w:val="34637299"/>
    <w:lvl w:ilvl="0" w:tentative="0">
      <w:start w:val="1"/>
      <w:numFmt w:val="decimal"/>
      <w:pStyle w:val="69"/>
      <w:suff w:val="space"/>
      <w:lvlText w:val="%1"/>
      <w:lvlJc w:val="left"/>
      <w:pPr>
        <w:ind w:left="432" w:hanging="432"/>
      </w:pPr>
      <w:rPr>
        <w:rFonts w:hint="eastAsia"/>
      </w:rPr>
    </w:lvl>
    <w:lvl w:ilvl="1" w:tentative="0">
      <w:start w:val="1"/>
      <w:numFmt w:val="decimal"/>
      <w:pStyle w:val="3"/>
      <w:suff w:val="space"/>
      <w:lvlText w:val="%1.%2"/>
      <w:lvlJc w:val="left"/>
      <w:pPr>
        <w:ind w:left="576" w:hanging="576"/>
      </w:pPr>
      <w:rPr>
        <w:rFonts w:hint="default" w:ascii="Times New Roman" w:hAnsi="Times New Roman"/>
        <w:b w:val="0"/>
        <w:i w:val="0"/>
        <w:sz w:val="28"/>
      </w:rPr>
    </w:lvl>
    <w:lvl w:ilvl="2" w:tentative="0">
      <w:start w:val="1"/>
      <w:numFmt w:val="decimal"/>
      <w:pStyle w:val="4"/>
      <w:suff w:val="space"/>
      <w:lvlText w:val="%1.%2.%3"/>
      <w:lvlJc w:val="left"/>
      <w:pPr>
        <w:ind w:left="720" w:hanging="720"/>
      </w:pPr>
      <w:rPr>
        <w:rFonts w:hint="default" w:ascii="Times New Roman" w:hAnsi="Times New Roman" w:eastAsia="宋体" w:cs="Times New Roman"/>
        <w:b w:val="0"/>
        <w:i w:val="0"/>
        <w:sz w:val="24"/>
      </w:rPr>
    </w:lvl>
    <w:lvl w:ilvl="3" w:tentative="0">
      <w:start w:val="1"/>
      <w:numFmt w:val="decimal"/>
      <w:pStyle w:val="5"/>
      <w:suff w:val="space"/>
      <w:lvlText w:val="%1.%2.%3.%4"/>
      <w:lvlJc w:val="left"/>
      <w:pPr>
        <w:ind w:left="864" w:hanging="864"/>
      </w:pPr>
      <w:rPr>
        <w:rFonts w:hint="default" w:ascii="Times New Roman" w:hAnsi="Times New Roman"/>
        <w:b w:val="0"/>
        <w:i w:val="0"/>
        <w:sz w:val="24"/>
      </w:rPr>
    </w:lvl>
    <w:lvl w:ilvl="4" w:tentative="0">
      <w:start w:val="1"/>
      <w:numFmt w:val="decimal"/>
      <w:pStyle w:val="6"/>
      <w:suff w:val="space"/>
      <w:lvlText w:val="%1.%2.%3.%4.%5"/>
      <w:lvlJc w:val="left"/>
      <w:pPr>
        <w:ind w:left="1008" w:hanging="1008"/>
      </w:pPr>
      <w:rPr>
        <w:rFonts w:hint="default" w:ascii="Times New Roman" w:hAnsi="Times New Roman"/>
        <w:b w:val="0"/>
        <w:i w:val="0"/>
        <w:sz w:val="24"/>
      </w:rPr>
    </w:lvl>
    <w:lvl w:ilvl="5" w:tentative="0">
      <w:start w:val="1"/>
      <w:numFmt w:val="decimal"/>
      <w:pStyle w:val="7"/>
      <w:lvlText w:val="（%6）"/>
      <w:lvlJc w:val="left"/>
      <w:pPr>
        <w:ind w:left="720" w:hanging="720"/>
      </w:pPr>
      <w:rPr>
        <w:rFonts w:hint="default"/>
      </w:rPr>
    </w:lvl>
    <w:lvl w:ilvl="6" w:tentative="0">
      <w:start w:val="1"/>
      <w:numFmt w:val="decimal"/>
      <w:pStyle w:val="8"/>
      <w:lvlText w:val="%7）"/>
      <w:lvlJc w:val="left"/>
      <w:pPr>
        <w:ind w:left="360" w:hanging="360"/>
      </w:pPr>
      <w:rPr>
        <w:rFonts w:hint="default"/>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1">
    <w:nsid w:val="6239030A"/>
    <w:multiLevelType w:val="multilevel"/>
    <w:tmpl w:val="6239030A"/>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57D3FBC"/>
    <w:multiLevelType w:val="multilevel"/>
    <w:tmpl w:val="657D3FBC"/>
    <w:lvl w:ilvl="0" w:tentative="0">
      <w:start w:val="1"/>
      <w:numFmt w:val="upperLetter"/>
      <w:pStyle w:val="47"/>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52"/>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53"/>
      <w:suff w:val="nothing"/>
      <w:lvlText w:val="%1.%2.%3　"/>
      <w:lvlJc w:val="left"/>
      <w:pPr>
        <w:ind w:left="0" w:firstLine="0"/>
      </w:pPr>
      <w:rPr>
        <w:rFonts w:hint="eastAsia" w:ascii="黑体" w:hAnsi="Times New Roman" w:eastAsia="黑体"/>
        <w:b w:val="0"/>
        <w:i w:val="0"/>
        <w:sz w:val="21"/>
      </w:rPr>
    </w:lvl>
    <w:lvl w:ilvl="3" w:tentative="0">
      <w:start w:val="1"/>
      <w:numFmt w:val="decimal"/>
      <w:pStyle w:val="48"/>
      <w:suff w:val="nothing"/>
      <w:lvlText w:val="%1.%2.%3.%4　"/>
      <w:lvlJc w:val="left"/>
      <w:pPr>
        <w:ind w:left="0" w:firstLine="0"/>
      </w:pPr>
      <w:rPr>
        <w:rFonts w:hint="eastAsia" w:ascii="黑体" w:hAnsi="Times New Roman" w:eastAsia="黑体"/>
        <w:b w:val="0"/>
        <w:i w:val="0"/>
        <w:sz w:val="21"/>
      </w:rPr>
    </w:lvl>
    <w:lvl w:ilvl="4" w:tentative="0">
      <w:start w:val="1"/>
      <w:numFmt w:val="decimal"/>
      <w:pStyle w:val="49"/>
      <w:suff w:val="nothing"/>
      <w:lvlText w:val="%1.%2.%3.%4.%5　"/>
      <w:lvlJc w:val="left"/>
      <w:pPr>
        <w:ind w:left="0" w:firstLine="0"/>
      </w:pPr>
      <w:rPr>
        <w:rFonts w:hint="eastAsia" w:ascii="黑体" w:hAnsi="Times New Roman" w:eastAsia="黑体"/>
        <w:b w:val="0"/>
        <w:i w:val="0"/>
        <w:sz w:val="21"/>
      </w:rPr>
    </w:lvl>
    <w:lvl w:ilvl="5" w:tentative="0">
      <w:start w:val="1"/>
      <w:numFmt w:val="decimal"/>
      <w:pStyle w:val="50"/>
      <w:suff w:val="nothing"/>
      <w:lvlText w:val="%1.%2.%3.%4.%5.%6　"/>
      <w:lvlJc w:val="left"/>
      <w:pPr>
        <w:ind w:left="0" w:firstLine="0"/>
      </w:pPr>
      <w:rPr>
        <w:rFonts w:hint="eastAsia" w:ascii="黑体" w:hAnsi="Times New Roman" w:eastAsia="黑体"/>
        <w:b w:val="0"/>
        <w:i w:val="0"/>
        <w:sz w:val="21"/>
      </w:rPr>
    </w:lvl>
    <w:lvl w:ilvl="6" w:tentative="0">
      <w:start w:val="1"/>
      <w:numFmt w:val="decimal"/>
      <w:pStyle w:val="5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Formatting/>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F93"/>
    <w:rsid w:val="00001354"/>
    <w:rsid w:val="00002869"/>
    <w:rsid w:val="00012E7A"/>
    <w:rsid w:val="00014436"/>
    <w:rsid w:val="000144EA"/>
    <w:rsid w:val="00014F53"/>
    <w:rsid w:val="00015BD6"/>
    <w:rsid w:val="00016398"/>
    <w:rsid w:val="000177BD"/>
    <w:rsid w:val="00017B5E"/>
    <w:rsid w:val="00023337"/>
    <w:rsid w:val="000276DA"/>
    <w:rsid w:val="00032474"/>
    <w:rsid w:val="00032E9E"/>
    <w:rsid w:val="00033186"/>
    <w:rsid w:val="00035EE6"/>
    <w:rsid w:val="00036EA8"/>
    <w:rsid w:val="000370D8"/>
    <w:rsid w:val="00040C1C"/>
    <w:rsid w:val="0004119F"/>
    <w:rsid w:val="00041394"/>
    <w:rsid w:val="0004224C"/>
    <w:rsid w:val="00042E1B"/>
    <w:rsid w:val="0004473B"/>
    <w:rsid w:val="000524A6"/>
    <w:rsid w:val="00056A03"/>
    <w:rsid w:val="00056C13"/>
    <w:rsid w:val="00057DCC"/>
    <w:rsid w:val="0006064D"/>
    <w:rsid w:val="0006101A"/>
    <w:rsid w:val="00061FB0"/>
    <w:rsid w:val="000623E1"/>
    <w:rsid w:val="00062977"/>
    <w:rsid w:val="00064B9A"/>
    <w:rsid w:val="0006576C"/>
    <w:rsid w:val="00066BAA"/>
    <w:rsid w:val="000712A6"/>
    <w:rsid w:val="00071F97"/>
    <w:rsid w:val="00076B60"/>
    <w:rsid w:val="00082B0B"/>
    <w:rsid w:val="00084A5E"/>
    <w:rsid w:val="00087AC6"/>
    <w:rsid w:val="00091D1B"/>
    <w:rsid w:val="00092EAF"/>
    <w:rsid w:val="0009308D"/>
    <w:rsid w:val="000933EC"/>
    <w:rsid w:val="0009489B"/>
    <w:rsid w:val="000A0471"/>
    <w:rsid w:val="000A200E"/>
    <w:rsid w:val="000A3580"/>
    <w:rsid w:val="000A57E3"/>
    <w:rsid w:val="000A6D7E"/>
    <w:rsid w:val="000B4F1B"/>
    <w:rsid w:val="000B5DC7"/>
    <w:rsid w:val="000B70E5"/>
    <w:rsid w:val="000C0EBE"/>
    <w:rsid w:val="000C25A5"/>
    <w:rsid w:val="000D26B3"/>
    <w:rsid w:val="000D35A1"/>
    <w:rsid w:val="000D3D07"/>
    <w:rsid w:val="000D48AD"/>
    <w:rsid w:val="000D4D1A"/>
    <w:rsid w:val="000E0F97"/>
    <w:rsid w:val="000E1B2C"/>
    <w:rsid w:val="000E1EAE"/>
    <w:rsid w:val="000E245F"/>
    <w:rsid w:val="000E4D2F"/>
    <w:rsid w:val="000E55A4"/>
    <w:rsid w:val="000E55AF"/>
    <w:rsid w:val="000F1CBB"/>
    <w:rsid w:val="000F2C81"/>
    <w:rsid w:val="000F2CF1"/>
    <w:rsid w:val="000F35B0"/>
    <w:rsid w:val="000F4C26"/>
    <w:rsid w:val="000F5B4C"/>
    <w:rsid w:val="000F6743"/>
    <w:rsid w:val="00101117"/>
    <w:rsid w:val="001023AE"/>
    <w:rsid w:val="001029CA"/>
    <w:rsid w:val="00106C8F"/>
    <w:rsid w:val="001101EC"/>
    <w:rsid w:val="00110275"/>
    <w:rsid w:val="00111782"/>
    <w:rsid w:val="00112D71"/>
    <w:rsid w:val="00114019"/>
    <w:rsid w:val="0011453C"/>
    <w:rsid w:val="00115D73"/>
    <w:rsid w:val="00117902"/>
    <w:rsid w:val="001208E3"/>
    <w:rsid w:val="001216DD"/>
    <w:rsid w:val="00121CD2"/>
    <w:rsid w:val="001313EB"/>
    <w:rsid w:val="0013170F"/>
    <w:rsid w:val="00131CA2"/>
    <w:rsid w:val="00132F07"/>
    <w:rsid w:val="00133A65"/>
    <w:rsid w:val="00133FD0"/>
    <w:rsid w:val="00136083"/>
    <w:rsid w:val="00136A53"/>
    <w:rsid w:val="00137236"/>
    <w:rsid w:val="00141890"/>
    <w:rsid w:val="00142126"/>
    <w:rsid w:val="00147902"/>
    <w:rsid w:val="00152A26"/>
    <w:rsid w:val="00152C4D"/>
    <w:rsid w:val="001543E1"/>
    <w:rsid w:val="001549E0"/>
    <w:rsid w:val="00154D95"/>
    <w:rsid w:val="00160047"/>
    <w:rsid w:val="0016025D"/>
    <w:rsid w:val="00161A1F"/>
    <w:rsid w:val="00162D92"/>
    <w:rsid w:val="0016471E"/>
    <w:rsid w:val="00165954"/>
    <w:rsid w:val="00166ADD"/>
    <w:rsid w:val="00170C25"/>
    <w:rsid w:val="00176960"/>
    <w:rsid w:val="001775FF"/>
    <w:rsid w:val="001819EC"/>
    <w:rsid w:val="00181C71"/>
    <w:rsid w:val="00186B0E"/>
    <w:rsid w:val="001875F2"/>
    <w:rsid w:val="001878C1"/>
    <w:rsid w:val="00187F59"/>
    <w:rsid w:val="00190980"/>
    <w:rsid w:val="00191D8F"/>
    <w:rsid w:val="00196B38"/>
    <w:rsid w:val="001A0A2B"/>
    <w:rsid w:val="001A0BDB"/>
    <w:rsid w:val="001A1C09"/>
    <w:rsid w:val="001A2970"/>
    <w:rsid w:val="001A4BC4"/>
    <w:rsid w:val="001B00F9"/>
    <w:rsid w:val="001B2227"/>
    <w:rsid w:val="001B2825"/>
    <w:rsid w:val="001B2C70"/>
    <w:rsid w:val="001B309D"/>
    <w:rsid w:val="001C2BAA"/>
    <w:rsid w:val="001C3A7E"/>
    <w:rsid w:val="001C3FB4"/>
    <w:rsid w:val="001C6053"/>
    <w:rsid w:val="001C6AE3"/>
    <w:rsid w:val="001D043E"/>
    <w:rsid w:val="001D0983"/>
    <w:rsid w:val="001D09F4"/>
    <w:rsid w:val="001D1AA4"/>
    <w:rsid w:val="001D39B5"/>
    <w:rsid w:val="001D3F6B"/>
    <w:rsid w:val="001D732F"/>
    <w:rsid w:val="001E21FF"/>
    <w:rsid w:val="001E22DA"/>
    <w:rsid w:val="001E2C6A"/>
    <w:rsid w:val="001E36FB"/>
    <w:rsid w:val="001F343C"/>
    <w:rsid w:val="001F51E8"/>
    <w:rsid w:val="001F52E8"/>
    <w:rsid w:val="001F6541"/>
    <w:rsid w:val="001F6AC8"/>
    <w:rsid w:val="001F70DD"/>
    <w:rsid w:val="001F7E55"/>
    <w:rsid w:val="001F7EFA"/>
    <w:rsid w:val="00202087"/>
    <w:rsid w:val="00202627"/>
    <w:rsid w:val="00202A72"/>
    <w:rsid w:val="002036A3"/>
    <w:rsid w:val="00205746"/>
    <w:rsid w:val="0020637E"/>
    <w:rsid w:val="00207391"/>
    <w:rsid w:val="00210A35"/>
    <w:rsid w:val="0021190E"/>
    <w:rsid w:val="00212C3D"/>
    <w:rsid w:val="002138F0"/>
    <w:rsid w:val="0021396E"/>
    <w:rsid w:val="00214D93"/>
    <w:rsid w:val="002177BD"/>
    <w:rsid w:val="00220685"/>
    <w:rsid w:val="00222692"/>
    <w:rsid w:val="00223301"/>
    <w:rsid w:val="00224C5B"/>
    <w:rsid w:val="002261D2"/>
    <w:rsid w:val="00230F13"/>
    <w:rsid w:val="00231319"/>
    <w:rsid w:val="002326E4"/>
    <w:rsid w:val="00233963"/>
    <w:rsid w:val="00240A4B"/>
    <w:rsid w:val="002412B2"/>
    <w:rsid w:val="00241FBC"/>
    <w:rsid w:val="00243B36"/>
    <w:rsid w:val="002453C0"/>
    <w:rsid w:val="00247467"/>
    <w:rsid w:val="00251BBD"/>
    <w:rsid w:val="002522FB"/>
    <w:rsid w:val="00254881"/>
    <w:rsid w:val="002579A3"/>
    <w:rsid w:val="00263CC6"/>
    <w:rsid w:val="0026480B"/>
    <w:rsid w:val="00270281"/>
    <w:rsid w:val="002709C1"/>
    <w:rsid w:val="00270C30"/>
    <w:rsid w:val="00270FFC"/>
    <w:rsid w:val="0027612B"/>
    <w:rsid w:val="00280105"/>
    <w:rsid w:val="002818BD"/>
    <w:rsid w:val="002818EC"/>
    <w:rsid w:val="0028338C"/>
    <w:rsid w:val="00283602"/>
    <w:rsid w:val="0028451D"/>
    <w:rsid w:val="00284CF6"/>
    <w:rsid w:val="002863A9"/>
    <w:rsid w:val="00286534"/>
    <w:rsid w:val="00286630"/>
    <w:rsid w:val="00287468"/>
    <w:rsid w:val="002922B8"/>
    <w:rsid w:val="002925BF"/>
    <w:rsid w:val="002929E5"/>
    <w:rsid w:val="00296D4B"/>
    <w:rsid w:val="002A255C"/>
    <w:rsid w:val="002A559B"/>
    <w:rsid w:val="002B22C6"/>
    <w:rsid w:val="002B2961"/>
    <w:rsid w:val="002B3608"/>
    <w:rsid w:val="002B55D6"/>
    <w:rsid w:val="002C0571"/>
    <w:rsid w:val="002C29AA"/>
    <w:rsid w:val="002C5E5C"/>
    <w:rsid w:val="002D3A2A"/>
    <w:rsid w:val="002D41D5"/>
    <w:rsid w:val="002E008B"/>
    <w:rsid w:val="002E04E7"/>
    <w:rsid w:val="002E300D"/>
    <w:rsid w:val="002E3730"/>
    <w:rsid w:val="002E4144"/>
    <w:rsid w:val="002E4359"/>
    <w:rsid w:val="002E5664"/>
    <w:rsid w:val="002F0915"/>
    <w:rsid w:val="002F0F87"/>
    <w:rsid w:val="002F2FCF"/>
    <w:rsid w:val="0030094D"/>
    <w:rsid w:val="00301EB6"/>
    <w:rsid w:val="00302C96"/>
    <w:rsid w:val="00303046"/>
    <w:rsid w:val="00304312"/>
    <w:rsid w:val="00315BF2"/>
    <w:rsid w:val="003168EA"/>
    <w:rsid w:val="00316FFF"/>
    <w:rsid w:val="0031757A"/>
    <w:rsid w:val="003241C1"/>
    <w:rsid w:val="0032464C"/>
    <w:rsid w:val="00325FD2"/>
    <w:rsid w:val="00330C2C"/>
    <w:rsid w:val="003313B4"/>
    <w:rsid w:val="0033381E"/>
    <w:rsid w:val="00335B3C"/>
    <w:rsid w:val="00335F79"/>
    <w:rsid w:val="00337A40"/>
    <w:rsid w:val="00337D2F"/>
    <w:rsid w:val="00340140"/>
    <w:rsid w:val="003418EA"/>
    <w:rsid w:val="0034292E"/>
    <w:rsid w:val="003448EA"/>
    <w:rsid w:val="00344C3C"/>
    <w:rsid w:val="0034515B"/>
    <w:rsid w:val="00345D62"/>
    <w:rsid w:val="00345E6B"/>
    <w:rsid w:val="003464C4"/>
    <w:rsid w:val="0034735E"/>
    <w:rsid w:val="0035156C"/>
    <w:rsid w:val="003556D2"/>
    <w:rsid w:val="0035570E"/>
    <w:rsid w:val="00356A52"/>
    <w:rsid w:val="003575B4"/>
    <w:rsid w:val="00357CEB"/>
    <w:rsid w:val="003602D8"/>
    <w:rsid w:val="00361207"/>
    <w:rsid w:val="0036321C"/>
    <w:rsid w:val="003644E6"/>
    <w:rsid w:val="00366D6C"/>
    <w:rsid w:val="00367900"/>
    <w:rsid w:val="00370101"/>
    <w:rsid w:val="0037039A"/>
    <w:rsid w:val="003714B3"/>
    <w:rsid w:val="00371709"/>
    <w:rsid w:val="0037198B"/>
    <w:rsid w:val="00371A25"/>
    <w:rsid w:val="00371EAB"/>
    <w:rsid w:val="00374BF2"/>
    <w:rsid w:val="003753B0"/>
    <w:rsid w:val="003754B7"/>
    <w:rsid w:val="003758BE"/>
    <w:rsid w:val="00376040"/>
    <w:rsid w:val="003846D2"/>
    <w:rsid w:val="00385559"/>
    <w:rsid w:val="003907C6"/>
    <w:rsid w:val="00390C49"/>
    <w:rsid w:val="003915EB"/>
    <w:rsid w:val="003941DC"/>
    <w:rsid w:val="00396379"/>
    <w:rsid w:val="00396A17"/>
    <w:rsid w:val="00396E6F"/>
    <w:rsid w:val="003A088E"/>
    <w:rsid w:val="003A2C70"/>
    <w:rsid w:val="003A68C3"/>
    <w:rsid w:val="003A71C1"/>
    <w:rsid w:val="003A75E9"/>
    <w:rsid w:val="003B0F0D"/>
    <w:rsid w:val="003B1ECF"/>
    <w:rsid w:val="003B2D7D"/>
    <w:rsid w:val="003B2E0D"/>
    <w:rsid w:val="003B3680"/>
    <w:rsid w:val="003B4BA0"/>
    <w:rsid w:val="003B72A0"/>
    <w:rsid w:val="003C0408"/>
    <w:rsid w:val="003C1E1A"/>
    <w:rsid w:val="003C25B0"/>
    <w:rsid w:val="003C7840"/>
    <w:rsid w:val="003D0F4C"/>
    <w:rsid w:val="003D1062"/>
    <w:rsid w:val="003D30B7"/>
    <w:rsid w:val="003D39BC"/>
    <w:rsid w:val="003D5037"/>
    <w:rsid w:val="003D7033"/>
    <w:rsid w:val="003E2905"/>
    <w:rsid w:val="003E476E"/>
    <w:rsid w:val="003E74D7"/>
    <w:rsid w:val="003F30CB"/>
    <w:rsid w:val="003F3EC4"/>
    <w:rsid w:val="003F7313"/>
    <w:rsid w:val="003F762F"/>
    <w:rsid w:val="00400F25"/>
    <w:rsid w:val="00401436"/>
    <w:rsid w:val="0040258E"/>
    <w:rsid w:val="00403873"/>
    <w:rsid w:val="00403B6D"/>
    <w:rsid w:val="00404031"/>
    <w:rsid w:val="0040581B"/>
    <w:rsid w:val="004070FC"/>
    <w:rsid w:val="004122B8"/>
    <w:rsid w:val="00412A9A"/>
    <w:rsid w:val="0041423A"/>
    <w:rsid w:val="004156D6"/>
    <w:rsid w:val="00415CEC"/>
    <w:rsid w:val="00420FDA"/>
    <w:rsid w:val="004218D7"/>
    <w:rsid w:val="00425325"/>
    <w:rsid w:val="00430A43"/>
    <w:rsid w:val="004350E2"/>
    <w:rsid w:val="004352AD"/>
    <w:rsid w:val="00442399"/>
    <w:rsid w:val="004428FE"/>
    <w:rsid w:val="00442C4E"/>
    <w:rsid w:val="0044385E"/>
    <w:rsid w:val="004463A2"/>
    <w:rsid w:val="00446D89"/>
    <w:rsid w:val="00447232"/>
    <w:rsid w:val="00452B3E"/>
    <w:rsid w:val="00452D57"/>
    <w:rsid w:val="004531CF"/>
    <w:rsid w:val="00455A5E"/>
    <w:rsid w:val="00457F53"/>
    <w:rsid w:val="0046061B"/>
    <w:rsid w:val="004606A4"/>
    <w:rsid w:val="00461716"/>
    <w:rsid w:val="00464134"/>
    <w:rsid w:val="00465B67"/>
    <w:rsid w:val="004678ED"/>
    <w:rsid w:val="004724BD"/>
    <w:rsid w:val="00473219"/>
    <w:rsid w:val="00473F76"/>
    <w:rsid w:val="004749F4"/>
    <w:rsid w:val="0048030D"/>
    <w:rsid w:val="00483AEA"/>
    <w:rsid w:val="00484739"/>
    <w:rsid w:val="0048509C"/>
    <w:rsid w:val="00485BAC"/>
    <w:rsid w:val="004877FF"/>
    <w:rsid w:val="00491024"/>
    <w:rsid w:val="00491A3A"/>
    <w:rsid w:val="00492EB4"/>
    <w:rsid w:val="004A1736"/>
    <w:rsid w:val="004A1FD5"/>
    <w:rsid w:val="004A2B61"/>
    <w:rsid w:val="004A323F"/>
    <w:rsid w:val="004A4CC1"/>
    <w:rsid w:val="004A60A7"/>
    <w:rsid w:val="004A6CBA"/>
    <w:rsid w:val="004B1B96"/>
    <w:rsid w:val="004B2465"/>
    <w:rsid w:val="004B3EAF"/>
    <w:rsid w:val="004B61AC"/>
    <w:rsid w:val="004C1F25"/>
    <w:rsid w:val="004C1FA5"/>
    <w:rsid w:val="004C30EF"/>
    <w:rsid w:val="004C4DAC"/>
    <w:rsid w:val="004C5AB9"/>
    <w:rsid w:val="004D0101"/>
    <w:rsid w:val="004D1067"/>
    <w:rsid w:val="004D238F"/>
    <w:rsid w:val="004D45EA"/>
    <w:rsid w:val="004E0AE3"/>
    <w:rsid w:val="004E0D2B"/>
    <w:rsid w:val="004E0F93"/>
    <w:rsid w:val="004E62F4"/>
    <w:rsid w:val="004E750D"/>
    <w:rsid w:val="004F501A"/>
    <w:rsid w:val="004F79F4"/>
    <w:rsid w:val="00501A9F"/>
    <w:rsid w:val="00506052"/>
    <w:rsid w:val="005077B5"/>
    <w:rsid w:val="00510032"/>
    <w:rsid w:val="005114D9"/>
    <w:rsid w:val="00512220"/>
    <w:rsid w:val="005143AC"/>
    <w:rsid w:val="005167BD"/>
    <w:rsid w:val="00516FD0"/>
    <w:rsid w:val="00521080"/>
    <w:rsid w:val="005226B2"/>
    <w:rsid w:val="0052549C"/>
    <w:rsid w:val="0052692B"/>
    <w:rsid w:val="0052762E"/>
    <w:rsid w:val="005312A6"/>
    <w:rsid w:val="0053299D"/>
    <w:rsid w:val="00533F54"/>
    <w:rsid w:val="00535258"/>
    <w:rsid w:val="0053705D"/>
    <w:rsid w:val="0053798D"/>
    <w:rsid w:val="00540AC1"/>
    <w:rsid w:val="00542BB2"/>
    <w:rsid w:val="00544784"/>
    <w:rsid w:val="00546FF0"/>
    <w:rsid w:val="0055298F"/>
    <w:rsid w:val="00552D28"/>
    <w:rsid w:val="005556DD"/>
    <w:rsid w:val="005557A0"/>
    <w:rsid w:val="00560074"/>
    <w:rsid w:val="00561161"/>
    <w:rsid w:val="00563112"/>
    <w:rsid w:val="00563141"/>
    <w:rsid w:val="00563ACD"/>
    <w:rsid w:val="00567D41"/>
    <w:rsid w:val="0057259C"/>
    <w:rsid w:val="00572C0B"/>
    <w:rsid w:val="00574618"/>
    <w:rsid w:val="00575392"/>
    <w:rsid w:val="00577825"/>
    <w:rsid w:val="00583D03"/>
    <w:rsid w:val="00584A37"/>
    <w:rsid w:val="00585B19"/>
    <w:rsid w:val="00585E21"/>
    <w:rsid w:val="00586250"/>
    <w:rsid w:val="005865DD"/>
    <w:rsid w:val="0058751B"/>
    <w:rsid w:val="00587DB4"/>
    <w:rsid w:val="00590CB0"/>
    <w:rsid w:val="005924A5"/>
    <w:rsid w:val="00597671"/>
    <w:rsid w:val="005A0D9D"/>
    <w:rsid w:val="005A0DC4"/>
    <w:rsid w:val="005A53E4"/>
    <w:rsid w:val="005A57AB"/>
    <w:rsid w:val="005A63C5"/>
    <w:rsid w:val="005B09C9"/>
    <w:rsid w:val="005B0CD4"/>
    <w:rsid w:val="005B0E73"/>
    <w:rsid w:val="005B51D5"/>
    <w:rsid w:val="005C185C"/>
    <w:rsid w:val="005C37A0"/>
    <w:rsid w:val="005C3C5C"/>
    <w:rsid w:val="005C3CD6"/>
    <w:rsid w:val="005C5EC6"/>
    <w:rsid w:val="005C7460"/>
    <w:rsid w:val="005D060F"/>
    <w:rsid w:val="005D079F"/>
    <w:rsid w:val="005D0ECC"/>
    <w:rsid w:val="005D194E"/>
    <w:rsid w:val="005D1F60"/>
    <w:rsid w:val="005D4180"/>
    <w:rsid w:val="005D4A87"/>
    <w:rsid w:val="005D5A07"/>
    <w:rsid w:val="005D785C"/>
    <w:rsid w:val="005E02E1"/>
    <w:rsid w:val="005E069D"/>
    <w:rsid w:val="005E34E8"/>
    <w:rsid w:val="005E37F4"/>
    <w:rsid w:val="005E5C44"/>
    <w:rsid w:val="005E7E45"/>
    <w:rsid w:val="005F0371"/>
    <w:rsid w:val="005F23B5"/>
    <w:rsid w:val="005F5267"/>
    <w:rsid w:val="005F6CD9"/>
    <w:rsid w:val="006000F7"/>
    <w:rsid w:val="00601868"/>
    <w:rsid w:val="00605EB1"/>
    <w:rsid w:val="006075B3"/>
    <w:rsid w:val="006102FD"/>
    <w:rsid w:val="006153BC"/>
    <w:rsid w:val="006168CD"/>
    <w:rsid w:val="0062632B"/>
    <w:rsid w:val="00627573"/>
    <w:rsid w:val="00631DA1"/>
    <w:rsid w:val="00633749"/>
    <w:rsid w:val="00633DE5"/>
    <w:rsid w:val="00634A28"/>
    <w:rsid w:val="00635BEA"/>
    <w:rsid w:val="006363A4"/>
    <w:rsid w:val="00636502"/>
    <w:rsid w:val="00636DC8"/>
    <w:rsid w:val="00637106"/>
    <w:rsid w:val="00640646"/>
    <w:rsid w:val="00640DD5"/>
    <w:rsid w:val="006421B5"/>
    <w:rsid w:val="00642826"/>
    <w:rsid w:val="0064311E"/>
    <w:rsid w:val="006479A8"/>
    <w:rsid w:val="00647C95"/>
    <w:rsid w:val="006506E0"/>
    <w:rsid w:val="00650E4D"/>
    <w:rsid w:val="0065265B"/>
    <w:rsid w:val="00656B12"/>
    <w:rsid w:val="00662893"/>
    <w:rsid w:val="006734FD"/>
    <w:rsid w:val="00673E27"/>
    <w:rsid w:val="00673EF8"/>
    <w:rsid w:val="0067548B"/>
    <w:rsid w:val="006754D2"/>
    <w:rsid w:val="00685AD7"/>
    <w:rsid w:val="00690361"/>
    <w:rsid w:val="006912A2"/>
    <w:rsid w:val="00691327"/>
    <w:rsid w:val="00691D94"/>
    <w:rsid w:val="00692A93"/>
    <w:rsid w:val="00692DD8"/>
    <w:rsid w:val="00694499"/>
    <w:rsid w:val="006961B6"/>
    <w:rsid w:val="00696534"/>
    <w:rsid w:val="00696AE1"/>
    <w:rsid w:val="0069720C"/>
    <w:rsid w:val="006973B3"/>
    <w:rsid w:val="00697BF0"/>
    <w:rsid w:val="006A0A34"/>
    <w:rsid w:val="006A2CC0"/>
    <w:rsid w:val="006A31AA"/>
    <w:rsid w:val="006A4A7A"/>
    <w:rsid w:val="006B00D2"/>
    <w:rsid w:val="006B2D05"/>
    <w:rsid w:val="006B617C"/>
    <w:rsid w:val="006B7123"/>
    <w:rsid w:val="006B7D50"/>
    <w:rsid w:val="006C003C"/>
    <w:rsid w:val="006C03C4"/>
    <w:rsid w:val="006C1CF4"/>
    <w:rsid w:val="006C23C5"/>
    <w:rsid w:val="006C4CF4"/>
    <w:rsid w:val="006C68C9"/>
    <w:rsid w:val="006C721A"/>
    <w:rsid w:val="006C7BCF"/>
    <w:rsid w:val="006D1116"/>
    <w:rsid w:val="006D255D"/>
    <w:rsid w:val="006D3093"/>
    <w:rsid w:val="006D6708"/>
    <w:rsid w:val="006E019B"/>
    <w:rsid w:val="006E3322"/>
    <w:rsid w:val="006E3E0C"/>
    <w:rsid w:val="006E4CCD"/>
    <w:rsid w:val="006F1FBC"/>
    <w:rsid w:val="006F2B5C"/>
    <w:rsid w:val="006F3923"/>
    <w:rsid w:val="006F58FE"/>
    <w:rsid w:val="006F7DC6"/>
    <w:rsid w:val="00701095"/>
    <w:rsid w:val="00702F14"/>
    <w:rsid w:val="00704DB4"/>
    <w:rsid w:val="0070595A"/>
    <w:rsid w:val="00705DE6"/>
    <w:rsid w:val="00706F36"/>
    <w:rsid w:val="00710434"/>
    <w:rsid w:val="00710C84"/>
    <w:rsid w:val="007130A2"/>
    <w:rsid w:val="00713694"/>
    <w:rsid w:val="00715FE2"/>
    <w:rsid w:val="007167E7"/>
    <w:rsid w:val="00720CBE"/>
    <w:rsid w:val="00723932"/>
    <w:rsid w:val="007241B8"/>
    <w:rsid w:val="007327EA"/>
    <w:rsid w:val="0073463B"/>
    <w:rsid w:val="007375A0"/>
    <w:rsid w:val="0074027F"/>
    <w:rsid w:val="0074036D"/>
    <w:rsid w:val="00741FDD"/>
    <w:rsid w:val="00742751"/>
    <w:rsid w:val="0074329F"/>
    <w:rsid w:val="00746F3B"/>
    <w:rsid w:val="00747BB9"/>
    <w:rsid w:val="00751382"/>
    <w:rsid w:val="00753CBE"/>
    <w:rsid w:val="00761A22"/>
    <w:rsid w:val="00766141"/>
    <w:rsid w:val="00766A3C"/>
    <w:rsid w:val="00766A57"/>
    <w:rsid w:val="00772F0F"/>
    <w:rsid w:val="00773B6C"/>
    <w:rsid w:val="007745A5"/>
    <w:rsid w:val="00775794"/>
    <w:rsid w:val="00775956"/>
    <w:rsid w:val="0077723B"/>
    <w:rsid w:val="007826D8"/>
    <w:rsid w:val="007827B2"/>
    <w:rsid w:val="00783B7B"/>
    <w:rsid w:val="00784169"/>
    <w:rsid w:val="0078438F"/>
    <w:rsid w:val="0078657C"/>
    <w:rsid w:val="0079605D"/>
    <w:rsid w:val="00796B45"/>
    <w:rsid w:val="007A1FAC"/>
    <w:rsid w:val="007A2C78"/>
    <w:rsid w:val="007A42F7"/>
    <w:rsid w:val="007A4C2A"/>
    <w:rsid w:val="007A65A3"/>
    <w:rsid w:val="007A74FB"/>
    <w:rsid w:val="007A7F58"/>
    <w:rsid w:val="007B0996"/>
    <w:rsid w:val="007B4387"/>
    <w:rsid w:val="007C1FF2"/>
    <w:rsid w:val="007C2115"/>
    <w:rsid w:val="007C320E"/>
    <w:rsid w:val="007D0247"/>
    <w:rsid w:val="007D03B1"/>
    <w:rsid w:val="007D14E1"/>
    <w:rsid w:val="007D217B"/>
    <w:rsid w:val="007E027B"/>
    <w:rsid w:val="007E056B"/>
    <w:rsid w:val="007E1D71"/>
    <w:rsid w:val="007E1F2C"/>
    <w:rsid w:val="007E2E93"/>
    <w:rsid w:val="007E409A"/>
    <w:rsid w:val="007E6412"/>
    <w:rsid w:val="007E6855"/>
    <w:rsid w:val="007E70AF"/>
    <w:rsid w:val="007F1AC3"/>
    <w:rsid w:val="007F1F85"/>
    <w:rsid w:val="007F3C87"/>
    <w:rsid w:val="007F3E67"/>
    <w:rsid w:val="007F55A7"/>
    <w:rsid w:val="007F55CF"/>
    <w:rsid w:val="008004C2"/>
    <w:rsid w:val="00803075"/>
    <w:rsid w:val="00804266"/>
    <w:rsid w:val="00806A87"/>
    <w:rsid w:val="00807661"/>
    <w:rsid w:val="00810D5B"/>
    <w:rsid w:val="008110F3"/>
    <w:rsid w:val="0081599A"/>
    <w:rsid w:val="00817643"/>
    <w:rsid w:val="00821E06"/>
    <w:rsid w:val="0082288B"/>
    <w:rsid w:val="00822A24"/>
    <w:rsid w:val="00822D7B"/>
    <w:rsid w:val="00823B92"/>
    <w:rsid w:val="0082598B"/>
    <w:rsid w:val="00825FAD"/>
    <w:rsid w:val="00840600"/>
    <w:rsid w:val="00840924"/>
    <w:rsid w:val="008411FD"/>
    <w:rsid w:val="00843494"/>
    <w:rsid w:val="008434F0"/>
    <w:rsid w:val="008438B0"/>
    <w:rsid w:val="00843C24"/>
    <w:rsid w:val="00845453"/>
    <w:rsid w:val="00846438"/>
    <w:rsid w:val="00846C93"/>
    <w:rsid w:val="00847611"/>
    <w:rsid w:val="00847FAE"/>
    <w:rsid w:val="0085433D"/>
    <w:rsid w:val="0085483A"/>
    <w:rsid w:val="00855CDB"/>
    <w:rsid w:val="0085765B"/>
    <w:rsid w:val="00857E27"/>
    <w:rsid w:val="00861742"/>
    <w:rsid w:val="00862B85"/>
    <w:rsid w:val="00862D71"/>
    <w:rsid w:val="0086519B"/>
    <w:rsid w:val="00865359"/>
    <w:rsid w:val="00867119"/>
    <w:rsid w:val="00874A06"/>
    <w:rsid w:val="00874B6F"/>
    <w:rsid w:val="008758ED"/>
    <w:rsid w:val="008770DD"/>
    <w:rsid w:val="008775BE"/>
    <w:rsid w:val="008779FF"/>
    <w:rsid w:val="00880F0F"/>
    <w:rsid w:val="00880F2F"/>
    <w:rsid w:val="00881D17"/>
    <w:rsid w:val="00882692"/>
    <w:rsid w:val="008837DE"/>
    <w:rsid w:val="008848E8"/>
    <w:rsid w:val="0088626F"/>
    <w:rsid w:val="0088627C"/>
    <w:rsid w:val="008876E1"/>
    <w:rsid w:val="00887B5D"/>
    <w:rsid w:val="00891A4B"/>
    <w:rsid w:val="0089262E"/>
    <w:rsid w:val="0089269B"/>
    <w:rsid w:val="008951C4"/>
    <w:rsid w:val="00895B88"/>
    <w:rsid w:val="008A128B"/>
    <w:rsid w:val="008A3952"/>
    <w:rsid w:val="008A5045"/>
    <w:rsid w:val="008A57F5"/>
    <w:rsid w:val="008A5F6D"/>
    <w:rsid w:val="008A661E"/>
    <w:rsid w:val="008A6D5A"/>
    <w:rsid w:val="008A77F7"/>
    <w:rsid w:val="008B0C2F"/>
    <w:rsid w:val="008B2320"/>
    <w:rsid w:val="008B39B7"/>
    <w:rsid w:val="008B51ED"/>
    <w:rsid w:val="008B7D86"/>
    <w:rsid w:val="008C093E"/>
    <w:rsid w:val="008C1007"/>
    <w:rsid w:val="008C2BC5"/>
    <w:rsid w:val="008C4CF9"/>
    <w:rsid w:val="008C6242"/>
    <w:rsid w:val="008D0A8C"/>
    <w:rsid w:val="008D14A8"/>
    <w:rsid w:val="008D2F03"/>
    <w:rsid w:val="008D30AA"/>
    <w:rsid w:val="008D3CAA"/>
    <w:rsid w:val="008D4190"/>
    <w:rsid w:val="008D59CE"/>
    <w:rsid w:val="008D6A68"/>
    <w:rsid w:val="008E259C"/>
    <w:rsid w:val="008E4452"/>
    <w:rsid w:val="008E453F"/>
    <w:rsid w:val="008E46FE"/>
    <w:rsid w:val="008E594A"/>
    <w:rsid w:val="008E672A"/>
    <w:rsid w:val="008E72E9"/>
    <w:rsid w:val="008F2F39"/>
    <w:rsid w:val="008F52F4"/>
    <w:rsid w:val="008F610F"/>
    <w:rsid w:val="009023AA"/>
    <w:rsid w:val="0090329B"/>
    <w:rsid w:val="00903AFC"/>
    <w:rsid w:val="009047C6"/>
    <w:rsid w:val="00906529"/>
    <w:rsid w:val="00906C01"/>
    <w:rsid w:val="00910840"/>
    <w:rsid w:val="009128C8"/>
    <w:rsid w:val="009148A7"/>
    <w:rsid w:val="00915023"/>
    <w:rsid w:val="0091644D"/>
    <w:rsid w:val="00916D72"/>
    <w:rsid w:val="00917751"/>
    <w:rsid w:val="009227A4"/>
    <w:rsid w:val="00925872"/>
    <w:rsid w:val="00925E3F"/>
    <w:rsid w:val="00930D2B"/>
    <w:rsid w:val="00930F00"/>
    <w:rsid w:val="0093276F"/>
    <w:rsid w:val="009337C3"/>
    <w:rsid w:val="00941DBC"/>
    <w:rsid w:val="00942B54"/>
    <w:rsid w:val="009434B5"/>
    <w:rsid w:val="00947518"/>
    <w:rsid w:val="00947F0F"/>
    <w:rsid w:val="009529F3"/>
    <w:rsid w:val="009536B1"/>
    <w:rsid w:val="00954642"/>
    <w:rsid w:val="00965483"/>
    <w:rsid w:val="00965A0F"/>
    <w:rsid w:val="00966D3F"/>
    <w:rsid w:val="00970C95"/>
    <w:rsid w:val="00971699"/>
    <w:rsid w:val="00972336"/>
    <w:rsid w:val="0097301C"/>
    <w:rsid w:val="009745DD"/>
    <w:rsid w:val="00974CFC"/>
    <w:rsid w:val="00976CBD"/>
    <w:rsid w:val="00980B49"/>
    <w:rsid w:val="00984FBB"/>
    <w:rsid w:val="009851ED"/>
    <w:rsid w:val="00987742"/>
    <w:rsid w:val="00987AD6"/>
    <w:rsid w:val="00992987"/>
    <w:rsid w:val="009966E5"/>
    <w:rsid w:val="00996BAF"/>
    <w:rsid w:val="00996C9E"/>
    <w:rsid w:val="00997270"/>
    <w:rsid w:val="009A16F1"/>
    <w:rsid w:val="009A3A9F"/>
    <w:rsid w:val="009A41F4"/>
    <w:rsid w:val="009A5217"/>
    <w:rsid w:val="009A68C1"/>
    <w:rsid w:val="009B00D8"/>
    <w:rsid w:val="009B2A59"/>
    <w:rsid w:val="009B2EE3"/>
    <w:rsid w:val="009B56B3"/>
    <w:rsid w:val="009B5789"/>
    <w:rsid w:val="009C00CA"/>
    <w:rsid w:val="009C064B"/>
    <w:rsid w:val="009C0E8B"/>
    <w:rsid w:val="009C25C0"/>
    <w:rsid w:val="009C3525"/>
    <w:rsid w:val="009C44E9"/>
    <w:rsid w:val="009C4C70"/>
    <w:rsid w:val="009C6868"/>
    <w:rsid w:val="009C6D81"/>
    <w:rsid w:val="009C78FC"/>
    <w:rsid w:val="009D1FC4"/>
    <w:rsid w:val="009D25FC"/>
    <w:rsid w:val="009D75DA"/>
    <w:rsid w:val="009E1D8A"/>
    <w:rsid w:val="009E3471"/>
    <w:rsid w:val="009E6B8C"/>
    <w:rsid w:val="009E7EB1"/>
    <w:rsid w:val="009F02BD"/>
    <w:rsid w:val="009F051E"/>
    <w:rsid w:val="009F10C4"/>
    <w:rsid w:val="009F2103"/>
    <w:rsid w:val="009F2721"/>
    <w:rsid w:val="009F47D6"/>
    <w:rsid w:val="009F6D90"/>
    <w:rsid w:val="00A00A5A"/>
    <w:rsid w:val="00A01736"/>
    <w:rsid w:val="00A01BFB"/>
    <w:rsid w:val="00A025B2"/>
    <w:rsid w:val="00A04252"/>
    <w:rsid w:val="00A043E8"/>
    <w:rsid w:val="00A04562"/>
    <w:rsid w:val="00A055F3"/>
    <w:rsid w:val="00A05DCD"/>
    <w:rsid w:val="00A06B4B"/>
    <w:rsid w:val="00A078B3"/>
    <w:rsid w:val="00A12C0A"/>
    <w:rsid w:val="00A14441"/>
    <w:rsid w:val="00A207C5"/>
    <w:rsid w:val="00A21131"/>
    <w:rsid w:val="00A2336D"/>
    <w:rsid w:val="00A23A89"/>
    <w:rsid w:val="00A24ECA"/>
    <w:rsid w:val="00A25672"/>
    <w:rsid w:val="00A25986"/>
    <w:rsid w:val="00A25CB3"/>
    <w:rsid w:val="00A32D84"/>
    <w:rsid w:val="00A32ECE"/>
    <w:rsid w:val="00A3657E"/>
    <w:rsid w:val="00A44886"/>
    <w:rsid w:val="00A45D16"/>
    <w:rsid w:val="00A47691"/>
    <w:rsid w:val="00A50E16"/>
    <w:rsid w:val="00A52431"/>
    <w:rsid w:val="00A556B1"/>
    <w:rsid w:val="00A55BC4"/>
    <w:rsid w:val="00A55BEE"/>
    <w:rsid w:val="00A55FC2"/>
    <w:rsid w:val="00A608D5"/>
    <w:rsid w:val="00A60B74"/>
    <w:rsid w:val="00A61E79"/>
    <w:rsid w:val="00A635CE"/>
    <w:rsid w:val="00A63D87"/>
    <w:rsid w:val="00A6458B"/>
    <w:rsid w:val="00A67D2D"/>
    <w:rsid w:val="00A7188C"/>
    <w:rsid w:val="00A71A33"/>
    <w:rsid w:val="00A72515"/>
    <w:rsid w:val="00A7378B"/>
    <w:rsid w:val="00A75881"/>
    <w:rsid w:val="00A77117"/>
    <w:rsid w:val="00A8037F"/>
    <w:rsid w:val="00A82CFF"/>
    <w:rsid w:val="00A86D69"/>
    <w:rsid w:val="00A91B30"/>
    <w:rsid w:val="00A927D8"/>
    <w:rsid w:val="00A933D0"/>
    <w:rsid w:val="00A93F99"/>
    <w:rsid w:val="00A94284"/>
    <w:rsid w:val="00A9571B"/>
    <w:rsid w:val="00A97462"/>
    <w:rsid w:val="00A97A84"/>
    <w:rsid w:val="00AA02D6"/>
    <w:rsid w:val="00AA1B95"/>
    <w:rsid w:val="00AA4860"/>
    <w:rsid w:val="00AA4A6D"/>
    <w:rsid w:val="00AB0FE0"/>
    <w:rsid w:val="00AB434B"/>
    <w:rsid w:val="00AC088B"/>
    <w:rsid w:val="00AC1F93"/>
    <w:rsid w:val="00AC2C4D"/>
    <w:rsid w:val="00AC2D0F"/>
    <w:rsid w:val="00AC4025"/>
    <w:rsid w:val="00AC4391"/>
    <w:rsid w:val="00AC5A96"/>
    <w:rsid w:val="00AC5FB1"/>
    <w:rsid w:val="00AC6439"/>
    <w:rsid w:val="00AC66EC"/>
    <w:rsid w:val="00AC6B55"/>
    <w:rsid w:val="00AC6C47"/>
    <w:rsid w:val="00AD31AA"/>
    <w:rsid w:val="00AD44C7"/>
    <w:rsid w:val="00AD4A7E"/>
    <w:rsid w:val="00AD4AD1"/>
    <w:rsid w:val="00AD52DE"/>
    <w:rsid w:val="00AD6BE1"/>
    <w:rsid w:val="00AD7479"/>
    <w:rsid w:val="00AE0EB1"/>
    <w:rsid w:val="00AE3E1C"/>
    <w:rsid w:val="00AE460B"/>
    <w:rsid w:val="00AE543B"/>
    <w:rsid w:val="00AE56B6"/>
    <w:rsid w:val="00AE6D60"/>
    <w:rsid w:val="00AE7F6B"/>
    <w:rsid w:val="00AF326E"/>
    <w:rsid w:val="00AF4D83"/>
    <w:rsid w:val="00AF5658"/>
    <w:rsid w:val="00AF6539"/>
    <w:rsid w:val="00B00AA0"/>
    <w:rsid w:val="00B0695E"/>
    <w:rsid w:val="00B07046"/>
    <w:rsid w:val="00B07A59"/>
    <w:rsid w:val="00B10348"/>
    <w:rsid w:val="00B10867"/>
    <w:rsid w:val="00B12520"/>
    <w:rsid w:val="00B13A4A"/>
    <w:rsid w:val="00B151A1"/>
    <w:rsid w:val="00B16716"/>
    <w:rsid w:val="00B17840"/>
    <w:rsid w:val="00B17A7D"/>
    <w:rsid w:val="00B20265"/>
    <w:rsid w:val="00B21E09"/>
    <w:rsid w:val="00B232C8"/>
    <w:rsid w:val="00B25E82"/>
    <w:rsid w:val="00B2690C"/>
    <w:rsid w:val="00B269EF"/>
    <w:rsid w:val="00B275DC"/>
    <w:rsid w:val="00B32DCD"/>
    <w:rsid w:val="00B33A77"/>
    <w:rsid w:val="00B3403B"/>
    <w:rsid w:val="00B34312"/>
    <w:rsid w:val="00B344AA"/>
    <w:rsid w:val="00B3506A"/>
    <w:rsid w:val="00B36263"/>
    <w:rsid w:val="00B37590"/>
    <w:rsid w:val="00B379B4"/>
    <w:rsid w:val="00B40152"/>
    <w:rsid w:val="00B460E8"/>
    <w:rsid w:val="00B471D6"/>
    <w:rsid w:val="00B47674"/>
    <w:rsid w:val="00B509C3"/>
    <w:rsid w:val="00B51289"/>
    <w:rsid w:val="00B51DAE"/>
    <w:rsid w:val="00B5213D"/>
    <w:rsid w:val="00B53A50"/>
    <w:rsid w:val="00B569AE"/>
    <w:rsid w:val="00B56E56"/>
    <w:rsid w:val="00B57944"/>
    <w:rsid w:val="00B60893"/>
    <w:rsid w:val="00B60F14"/>
    <w:rsid w:val="00B62AAD"/>
    <w:rsid w:val="00B64100"/>
    <w:rsid w:val="00B642EA"/>
    <w:rsid w:val="00B65179"/>
    <w:rsid w:val="00B6582E"/>
    <w:rsid w:val="00B67B7A"/>
    <w:rsid w:val="00B67FA6"/>
    <w:rsid w:val="00B705D4"/>
    <w:rsid w:val="00B70B11"/>
    <w:rsid w:val="00B736C6"/>
    <w:rsid w:val="00B74934"/>
    <w:rsid w:val="00B77DCE"/>
    <w:rsid w:val="00B80CC8"/>
    <w:rsid w:val="00B810FC"/>
    <w:rsid w:val="00B82835"/>
    <w:rsid w:val="00B83BC2"/>
    <w:rsid w:val="00B842A0"/>
    <w:rsid w:val="00B9066F"/>
    <w:rsid w:val="00B94F22"/>
    <w:rsid w:val="00B96C75"/>
    <w:rsid w:val="00B96F95"/>
    <w:rsid w:val="00B971C9"/>
    <w:rsid w:val="00B978B7"/>
    <w:rsid w:val="00B979E3"/>
    <w:rsid w:val="00B97FA4"/>
    <w:rsid w:val="00BA1395"/>
    <w:rsid w:val="00BA19DE"/>
    <w:rsid w:val="00BA1A6F"/>
    <w:rsid w:val="00BA373A"/>
    <w:rsid w:val="00BA528E"/>
    <w:rsid w:val="00BA57BF"/>
    <w:rsid w:val="00BA5CB2"/>
    <w:rsid w:val="00BA68FE"/>
    <w:rsid w:val="00BA723A"/>
    <w:rsid w:val="00BA7837"/>
    <w:rsid w:val="00BA7AEA"/>
    <w:rsid w:val="00BB0593"/>
    <w:rsid w:val="00BB3121"/>
    <w:rsid w:val="00BB3B05"/>
    <w:rsid w:val="00BB51D2"/>
    <w:rsid w:val="00BB538D"/>
    <w:rsid w:val="00BB5B7B"/>
    <w:rsid w:val="00BB5B9E"/>
    <w:rsid w:val="00BB5DE0"/>
    <w:rsid w:val="00BB75A4"/>
    <w:rsid w:val="00BC17C0"/>
    <w:rsid w:val="00BC411A"/>
    <w:rsid w:val="00BC5CFF"/>
    <w:rsid w:val="00BC7F7A"/>
    <w:rsid w:val="00BD1465"/>
    <w:rsid w:val="00BD27CE"/>
    <w:rsid w:val="00BD39C2"/>
    <w:rsid w:val="00BE0990"/>
    <w:rsid w:val="00BE2E80"/>
    <w:rsid w:val="00BE5340"/>
    <w:rsid w:val="00BE5449"/>
    <w:rsid w:val="00BE59F1"/>
    <w:rsid w:val="00BE5E2C"/>
    <w:rsid w:val="00BF081B"/>
    <w:rsid w:val="00BF2973"/>
    <w:rsid w:val="00BF4690"/>
    <w:rsid w:val="00BF4DBC"/>
    <w:rsid w:val="00BF551B"/>
    <w:rsid w:val="00BF6749"/>
    <w:rsid w:val="00BF6A87"/>
    <w:rsid w:val="00BF6ADC"/>
    <w:rsid w:val="00C00412"/>
    <w:rsid w:val="00C01456"/>
    <w:rsid w:val="00C02F61"/>
    <w:rsid w:val="00C03A24"/>
    <w:rsid w:val="00C04C49"/>
    <w:rsid w:val="00C06CA3"/>
    <w:rsid w:val="00C1034A"/>
    <w:rsid w:val="00C10979"/>
    <w:rsid w:val="00C11057"/>
    <w:rsid w:val="00C122ED"/>
    <w:rsid w:val="00C12EE3"/>
    <w:rsid w:val="00C13AB6"/>
    <w:rsid w:val="00C20EF5"/>
    <w:rsid w:val="00C21C47"/>
    <w:rsid w:val="00C22B62"/>
    <w:rsid w:val="00C24458"/>
    <w:rsid w:val="00C24F9B"/>
    <w:rsid w:val="00C2718F"/>
    <w:rsid w:val="00C311AC"/>
    <w:rsid w:val="00C323EF"/>
    <w:rsid w:val="00C33A83"/>
    <w:rsid w:val="00C34D20"/>
    <w:rsid w:val="00C36BFB"/>
    <w:rsid w:val="00C4193A"/>
    <w:rsid w:val="00C43A2C"/>
    <w:rsid w:val="00C5063E"/>
    <w:rsid w:val="00C51BD9"/>
    <w:rsid w:val="00C520AF"/>
    <w:rsid w:val="00C5726D"/>
    <w:rsid w:val="00C60290"/>
    <w:rsid w:val="00C61849"/>
    <w:rsid w:val="00C618B4"/>
    <w:rsid w:val="00C62842"/>
    <w:rsid w:val="00C65094"/>
    <w:rsid w:val="00C668E3"/>
    <w:rsid w:val="00C73DE8"/>
    <w:rsid w:val="00C76CC6"/>
    <w:rsid w:val="00C82321"/>
    <w:rsid w:val="00C85F2A"/>
    <w:rsid w:val="00C863A0"/>
    <w:rsid w:val="00C90EF0"/>
    <w:rsid w:val="00C9145E"/>
    <w:rsid w:val="00C94B2C"/>
    <w:rsid w:val="00C95480"/>
    <w:rsid w:val="00C9558B"/>
    <w:rsid w:val="00C95C1C"/>
    <w:rsid w:val="00C97296"/>
    <w:rsid w:val="00C9757C"/>
    <w:rsid w:val="00CA00BB"/>
    <w:rsid w:val="00CA05E1"/>
    <w:rsid w:val="00CA60AE"/>
    <w:rsid w:val="00CA7BF7"/>
    <w:rsid w:val="00CB0FFC"/>
    <w:rsid w:val="00CB199E"/>
    <w:rsid w:val="00CB262B"/>
    <w:rsid w:val="00CB7F0D"/>
    <w:rsid w:val="00CC04B1"/>
    <w:rsid w:val="00CC0C7D"/>
    <w:rsid w:val="00CC24F6"/>
    <w:rsid w:val="00CC5FDF"/>
    <w:rsid w:val="00CC6A6F"/>
    <w:rsid w:val="00CD00E6"/>
    <w:rsid w:val="00CD0940"/>
    <w:rsid w:val="00CD2236"/>
    <w:rsid w:val="00CD3CFF"/>
    <w:rsid w:val="00CD6559"/>
    <w:rsid w:val="00CE1B88"/>
    <w:rsid w:val="00CE56ED"/>
    <w:rsid w:val="00CE5943"/>
    <w:rsid w:val="00CE689D"/>
    <w:rsid w:val="00CE6E0F"/>
    <w:rsid w:val="00CF07D8"/>
    <w:rsid w:val="00CF1562"/>
    <w:rsid w:val="00CF18C4"/>
    <w:rsid w:val="00CF2F63"/>
    <w:rsid w:val="00CF3634"/>
    <w:rsid w:val="00CF3C7B"/>
    <w:rsid w:val="00CF6EAA"/>
    <w:rsid w:val="00CF7C87"/>
    <w:rsid w:val="00D0016E"/>
    <w:rsid w:val="00D02DF2"/>
    <w:rsid w:val="00D0378C"/>
    <w:rsid w:val="00D05000"/>
    <w:rsid w:val="00D054FD"/>
    <w:rsid w:val="00D0677C"/>
    <w:rsid w:val="00D06D3B"/>
    <w:rsid w:val="00D06F22"/>
    <w:rsid w:val="00D07B96"/>
    <w:rsid w:val="00D12B1B"/>
    <w:rsid w:val="00D13B67"/>
    <w:rsid w:val="00D15652"/>
    <w:rsid w:val="00D16ADF"/>
    <w:rsid w:val="00D206E6"/>
    <w:rsid w:val="00D21A8B"/>
    <w:rsid w:val="00D25B56"/>
    <w:rsid w:val="00D27E07"/>
    <w:rsid w:val="00D306BE"/>
    <w:rsid w:val="00D30B8D"/>
    <w:rsid w:val="00D30E0C"/>
    <w:rsid w:val="00D31726"/>
    <w:rsid w:val="00D32588"/>
    <w:rsid w:val="00D33075"/>
    <w:rsid w:val="00D37898"/>
    <w:rsid w:val="00D41A01"/>
    <w:rsid w:val="00D41E9D"/>
    <w:rsid w:val="00D42339"/>
    <w:rsid w:val="00D42601"/>
    <w:rsid w:val="00D43364"/>
    <w:rsid w:val="00D474D7"/>
    <w:rsid w:val="00D53077"/>
    <w:rsid w:val="00D532F6"/>
    <w:rsid w:val="00D56CBD"/>
    <w:rsid w:val="00D607EA"/>
    <w:rsid w:val="00D62683"/>
    <w:rsid w:val="00D62ABC"/>
    <w:rsid w:val="00D6373D"/>
    <w:rsid w:val="00D659C4"/>
    <w:rsid w:val="00D6613C"/>
    <w:rsid w:val="00D66B17"/>
    <w:rsid w:val="00D672DC"/>
    <w:rsid w:val="00D70598"/>
    <w:rsid w:val="00D72684"/>
    <w:rsid w:val="00D74708"/>
    <w:rsid w:val="00D74921"/>
    <w:rsid w:val="00D74A6E"/>
    <w:rsid w:val="00D805F8"/>
    <w:rsid w:val="00D80EBB"/>
    <w:rsid w:val="00D81AD6"/>
    <w:rsid w:val="00D823ED"/>
    <w:rsid w:val="00D859AC"/>
    <w:rsid w:val="00D85B29"/>
    <w:rsid w:val="00D87387"/>
    <w:rsid w:val="00D87B04"/>
    <w:rsid w:val="00D87B59"/>
    <w:rsid w:val="00D90A1D"/>
    <w:rsid w:val="00D90B1E"/>
    <w:rsid w:val="00D90E83"/>
    <w:rsid w:val="00D92568"/>
    <w:rsid w:val="00D925FC"/>
    <w:rsid w:val="00D92BD2"/>
    <w:rsid w:val="00D94558"/>
    <w:rsid w:val="00D9532A"/>
    <w:rsid w:val="00D970AB"/>
    <w:rsid w:val="00D972A3"/>
    <w:rsid w:val="00D97A9D"/>
    <w:rsid w:val="00DA0039"/>
    <w:rsid w:val="00DA18AA"/>
    <w:rsid w:val="00DA3F83"/>
    <w:rsid w:val="00DA4096"/>
    <w:rsid w:val="00DA5A68"/>
    <w:rsid w:val="00DB00B7"/>
    <w:rsid w:val="00DB0870"/>
    <w:rsid w:val="00DB1398"/>
    <w:rsid w:val="00DB335A"/>
    <w:rsid w:val="00DB746D"/>
    <w:rsid w:val="00DB7676"/>
    <w:rsid w:val="00DC16A4"/>
    <w:rsid w:val="00DC2F63"/>
    <w:rsid w:val="00DC4C63"/>
    <w:rsid w:val="00DC5037"/>
    <w:rsid w:val="00DD0266"/>
    <w:rsid w:val="00DD34B2"/>
    <w:rsid w:val="00DD58C2"/>
    <w:rsid w:val="00DD5FF2"/>
    <w:rsid w:val="00DD60D5"/>
    <w:rsid w:val="00DD6236"/>
    <w:rsid w:val="00DD6F04"/>
    <w:rsid w:val="00DD7956"/>
    <w:rsid w:val="00DE00EA"/>
    <w:rsid w:val="00DE1E65"/>
    <w:rsid w:val="00DE328B"/>
    <w:rsid w:val="00DE3AC5"/>
    <w:rsid w:val="00DE5EE2"/>
    <w:rsid w:val="00DF26F9"/>
    <w:rsid w:val="00DF472F"/>
    <w:rsid w:val="00DF4D75"/>
    <w:rsid w:val="00E010B3"/>
    <w:rsid w:val="00E02142"/>
    <w:rsid w:val="00E0414F"/>
    <w:rsid w:val="00E04AA4"/>
    <w:rsid w:val="00E074D2"/>
    <w:rsid w:val="00E112F8"/>
    <w:rsid w:val="00E12662"/>
    <w:rsid w:val="00E12795"/>
    <w:rsid w:val="00E13919"/>
    <w:rsid w:val="00E14309"/>
    <w:rsid w:val="00E157AC"/>
    <w:rsid w:val="00E16169"/>
    <w:rsid w:val="00E16430"/>
    <w:rsid w:val="00E2032D"/>
    <w:rsid w:val="00E2112A"/>
    <w:rsid w:val="00E21B26"/>
    <w:rsid w:val="00E21CD0"/>
    <w:rsid w:val="00E22272"/>
    <w:rsid w:val="00E2295C"/>
    <w:rsid w:val="00E22C19"/>
    <w:rsid w:val="00E26C52"/>
    <w:rsid w:val="00E32C08"/>
    <w:rsid w:val="00E34842"/>
    <w:rsid w:val="00E37F79"/>
    <w:rsid w:val="00E45EF8"/>
    <w:rsid w:val="00E5067E"/>
    <w:rsid w:val="00E512CF"/>
    <w:rsid w:val="00E5237F"/>
    <w:rsid w:val="00E552E9"/>
    <w:rsid w:val="00E56131"/>
    <w:rsid w:val="00E618A0"/>
    <w:rsid w:val="00E636CB"/>
    <w:rsid w:val="00E667D9"/>
    <w:rsid w:val="00E67592"/>
    <w:rsid w:val="00E677F2"/>
    <w:rsid w:val="00E73BCC"/>
    <w:rsid w:val="00E757C4"/>
    <w:rsid w:val="00E75BE6"/>
    <w:rsid w:val="00E80EFF"/>
    <w:rsid w:val="00E82030"/>
    <w:rsid w:val="00E83F8C"/>
    <w:rsid w:val="00E844D3"/>
    <w:rsid w:val="00E854B9"/>
    <w:rsid w:val="00E86BD1"/>
    <w:rsid w:val="00E86C8E"/>
    <w:rsid w:val="00E91972"/>
    <w:rsid w:val="00E93164"/>
    <w:rsid w:val="00E93C5F"/>
    <w:rsid w:val="00E93CF3"/>
    <w:rsid w:val="00E94D45"/>
    <w:rsid w:val="00E94EF5"/>
    <w:rsid w:val="00E97B7B"/>
    <w:rsid w:val="00EA3C6A"/>
    <w:rsid w:val="00EA4EAF"/>
    <w:rsid w:val="00EA5C1A"/>
    <w:rsid w:val="00EA5ECD"/>
    <w:rsid w:val="00EA7034"/>
    <w:rsid w:val="00EA79F1"/>
    <w:rsid w:val="00EA7D52"/>
    <w:rsid w:val="00EB0F4F"/>
    <w:rsid w:val="00EB2048"/>
    <w:rsid w:val="00EB2B7F"/>
    <w:rsid w:val="00EB2FC4"/>
    <w:rsid w:val="00EB327E"/>
    <w:rsid w:val="00EB4CB7"/>
    <w:rsid w:val="00EB51B6"/>
    <w:rsid w:val="00EC173F"/>
    <w:rsid w:val="00EC28A7"/>
    <w:rsid w:val="00EC5295"/>
    <w:rsid w:val="00EC65B0"/>
    <w:rsid w:val="00ED0D0B"/>
    <w:rsid w:val="00ED233C"/>
    <w:rsid w:val="00ED32B0"/>
    <w:rsid w:val="00ED55E6"/>
    <w:rsid w:val="00ED6FE0"/>
    <w:rsid w:val="00ED7106"/>
    <w:rsid w:val="00EE56A9"/>
    <w:rsid w:val="00EE5F07"/>
    <w:rsid w:val="00EE6EB2"/>
    <w:rsid w:val="00EE7DEB"/>
    <w:rsid w:val="00EF1512"/>
    <w:rsid w:val="00EF4655"/>
    <w:rsid w:val="00EF7CDD"/>
    <w:rsid w:val="00F031FC"/>
    <w:rsid w:val="00F0356D"/>
    <w:rsid w:val="00F0382C"/>
    <w:rsid w:val="00F0480F"/>
    <w:rsid w:val="00F06271"/>
    <w:rsid w:val="00F12CE9"/>
    <w:rsid w:val="00F14097"/>
    <w:rsid w:val="00F1415E"/>
    <w:rsid w:val="00F14314"/>
    <w:rsid w:val="00F14907"/>
    <w:rsid w:val="00F14E88"/>
    <w:rsid w:val="00F205DD"/>
    <w:rsid w:val="00F23786"/>
    <w:rsid w:val="00F2461B"/>
    <w:rsid w:val="00F25BFD"/>
    <w:rsid w:val="00F26338"/>
    <w:rsid w:val="00F2660A"/>
    <w:rsid w:val="00F27E2E"/>
    <w:rsid w:val="00F327F2"/>
    <w:rsid w:val="00F32A98"/>
    <w:rsid w:val="00F40397"/>
    <w:rsid w:val="00F403A3"/>
    <w:rsid w:val="00F40968"/>
    <w:rsid w:val="00F411B2"/>
    <w:rsid w:val="00F4296B"/>
    <w:rsid w:val="00F44E7C"/>
    <w:rsid w:val="00F457BE"/>
    <w:rsid w:val="00F45CD8"/>
    <w:rsid w:val="00F46CF7"/>
    <w:rsid w:val="00F4749D"/>
    <w:rsid w:val="00F50B02"/>
    <w:rsid w:val="00F51741"/>
    <w:rsid w:val="00F523CD"/>
    <w:rsid w:val="00F52A19"/>
    <w:rsid w:val="00F55BF9"/>
    <w:rsid w:val="00F56A45"/>
    <w:rsid w:val="00F62E07"/>
    <w:rsid w:val="00F63C3F"/>
    <w:rsid w:val="00F67A52"/>
    <w:rsid w:val="00F71D7A"/>
    <w:rsid w:val="00F739B1"/>
    <w:rsid w:val="00F75F59"/>
    <w:rsid w:val="00F76194"/>
    <w:rsid w:val="00F7701B"/>
    <w:rsid w:val="00F774D0"/>
    <w:rsid w:val="00F8020F"/>
    <w:rsid w:val="00F80BC4"/>
    <w:rsid w:val="00F81626"/>
    <w:rsid w:val="00F81926"/>
    <w:rsid w:val="00F83224"/>
    <w:rsid w:val="00F85C37"/>
    <w:rsid w:val="00F86CF4"/>
    <w:rsid w:val="00F87960"/>
    <w:rsid w:val="00F927EB"/>
    <w:rsid w:val="00F93B21"/>
    <w:rsid w:val="00F9455D"/>
    <w:rsid w:val="00F956A3"/>
    <w:rsid w:val="00F967CD"/>
    <w:rsid w:val="00F96ABD"/>
    <w:rsid w:val="00F979C6"/>
    <w:rsid w:val="00F97F34"/>
    <w:rsid w:val="00FA1D2E"/>
    <w:rsid w:val="00FA2493"/>
    <w:rsid w:val="00FA337C"/>
    <w:rsid w:val="00FA3AD4"/>
    <w:rsid w:val="00FA6C5F"/>
    <w:rsid w:val="00FB28F2"/>
    <w:rsid w:val="00FB29D2"/>
    <w:rsid w:val="00FB4153"/>
    <w:rsid w:val="00FB457D"/>
    <w:rsid w:val="00FB58A1"/>
    <w:rsid w:val="00FB7B00"/>
    <w:rsid w:val="00FC3942"/>
    <w:rsid w:val="00FC7D4E"/>
    <w:rsid w:val="00FD05A6"/>
    <w:rsid w:val="00FD0D40"/>
    <w:rsid w:val="00FD0E4B"/>
    <w:rsid w:val="00FD3DF0"/>
    <w:rsid w:val="00FD56A3"/>
    <w:rsid w:val="00FD77A6"/>
    <w:rsid w:val="00FD79BA"/>
    <w:rsid w:val="00FF0007"/>
    <w:rsid w:val="00FF1061"/>
    <w:rsid w:val="00FF449D"/>
    <w:rsid w:val="00FF514B"/>
    <w:rsid w:val="00FF6D86"/>
    <w:rsid w:val="0866072E"/>
    <w:rsid w:val="092D59A4"/>
    <w:rsid w:val="10123D92"/>
    <w:rsid w:val="13B83CC1"/>
    <w:rsid w:val="16A80138"/>
    <w:rsid w:val="1CB96E9B"/>
    <w:rsid w:val="208D37B2"/>
    <w:rsid w:val="27EE57B5"/>
    <w:rsid w:val="29B46164"/>
    <w:rsid w:val="2E0318E9"/>
    <w:rsid w:val="33A46FC2"/>
    <w:rsid w:val="41BA7C65"/>
    <w:rsid w:val="4CCE3C3C"/>
    <w:rsid w:val="5F282C85"/>
    <w:rsid w:val="7930365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7"/>
    <w:qFormat/>
    <w:uiPriority w:val="0"/>
    <w:pPr>
      <w:keepNext/>
      <w:keepLines/>
      <w:widowControl/>
      <w:numPr>
        <w:ilvl w:val="1"/>
        <w:numId w:val="1"/>
      </w:numPr>
      <w:spacing w:before="260" w:after="260" w:line="413" w:lineRule="auto"/>
      <w:jc w:val="left"/>
      <w:outlineLvl w:val="1"/>
    </w:pPr>
    <w:rPr>
      <w:rFonts w:eastAsia="黑体"/>
      <w:b/>
      <w:bCs/>
      <w:i/>
      <w:kern w:val="0"/>
      <w:sz w:val="32"/>
      <w:szCs w:val="32"/>
    </w:rPr>
  </w:style>
  <w:style w:type="paragraph" w:styleId="4">
    <w:name w:val="heading 3"/>
    <w:basedOn w:val="1"/>
    <w:next w:val="1"/>
    <w:link w:val="38"/>
    <w:qFormat/>
    <w:uiPriority w:val="0"/>
    <w:pPr>
      <w:keepNext/>
      <w:keepLines/>
      <w:widowControl/>
      <w:numPr>
        <w:ilvl w:val="2"/>
        <w:numId w:val="1"/>
      </w:numPr>
      <w:spacing w:line="360" w:lineRule="auto"/>
      <w:jc w:val="left"/>
      <w:outlineLvl w:val="2"/>
    </w:pPr>
    <w:rPr>
      <w:rFonts w:ascii="宋体" w:hAnsi="宋体"/>
      <w:b/>
      <w:bCs/>
      <w:color w:val="000000" w:themeColor="text1"/>
      <w:sz w:val="24"/>
    </w:rPr>
  </w:style>
  <w:style w:type="paragraph" w:styleId="5">
    <w:name w:val="heading 4"/>
    <w:basedOn w:val="1"/>
    <w:next w:val="1"/>
    <w:link w:val="39"/>
    <w:unhideWhenUsed/>
    <w:qFormat/>
    <w:uiPriority w:val="9"/>
    <w:pPr>
      <w:keepNext/>
      <w:keepLines/>
      <w:widowControl/>
      <w:numPr>
        <w:ilvl w:val="3"/>
        <w:numId w:val="1"/>
      </w:numPr>
      <w:spacing w:before="280" w:after="290" w:line="376" w:lineRule="auto"/>
      <w:jc w:val="left"/>
      <w:outlineLvl w:val="3"/>
    </w:pPr>
    <w:rPr>
      <w:rFonts w:ascii="Cambria" w:hAnsi="Cambria"/>
      <w:b/>
      <w:bCs/>
      <w:i/>
      <w:sz w:val="28"/>
      <w:szCs w:val="28"/>
    </w:rPr>
  </w:style>
  <w:style w:type="paragraph" w:styleId="6">
    <w:name w:val="heading 5"/>
    <w:basedOn w:val="1"/>
    <w:next w:val="1"/>
    <w:link w:val="40"/>
    <w:unhideWhenUsed/>
    <w:qFormat/>
    <w:uiPriority w:val="9"/>
    <w:pPr>
      <w:keepNext/>
      <w:keepLines/>
      <w:widowControl/>
      <w:numPr>
        <w:ilvl w:val="4"/>
        <w:numId w:val="1"/>
      </w:numPr>
      <w:spacing w:before="280" w:after="290" w:line="376" w:lineRule="auto"/>
      <w:jc w:val="left"/>
      <w:outlineLvl w:val="4"/>
    </w:pPr>
    <w:rPr>
      <w:b/>
      <w:bCs/>
      <w:i/>
      <w:sz w:val="28"/>
      <w:szCs w:val="28"/>
    </w:rPr>
  </w:style>
  <w:style w:type="paragraph" w:styleId="7">
    <w:name w:val="heading 6"/>
    <w:basedOn w:val="1"/>
    <w:next w:val="1"/>
    <w:link w:val="41"/>
    <w:unhideWhenUsed/>
    <w:qFormat/>
    <w:uiPriority w:val="9"/>
    <w:pPr>
      <w:keepNext/>
      <w:keepLines/>
      <w:widowControl/>
      <w:numPr>
        <w:ilvl w:val="5"/>
        <w:numId w:val="1"/>
      </w:numPr>
      <w:spacing w:before="240" w:after="64" w:line="320" w:lineRule="auto"/>
      <w:jc w:val="left"/>
      <w:outlineLvl w:val="5"/>
    </w:pPr>
    <w:rPr>
      <w:rFonts w:ascii="Cambria" w:hAnsi="Cambria"/>
      <w:b/>
      <w:bCs/>
      <w:i/>
      <w:sz w:val="24"/>
    </w:rPr>
  </w:style>
  <w:style w:type="paragraph" w:styleId="8">
    <w:name w:val="heading 7"/>
    <w:basedOn w:val="1"/>
    <w:next w:val="1"/>
    <w:link w:val="42"/>
    <w:unhideWhenUsed/>
    <w:qFormat/>
    <w:uiPriority w:val="9"/>
    <w:pPr>
      <w:keepNext/>
      <w:keepLines/>
      <w:widowControl/>
      <w:numPr>
        <w:ilvl w:val="6"/>
        <w:numId w:val="1"/>
      </w:numPr>
      <w:spacing w:before="240" w:after="64" w:line="320" w:lineRule="auto"/>
      <w:jc w:val="left"/>
      <w:outlineLvl w:val="6"/>
    </w:pPr>
    <w:rPr>
      <w:b/>
      <w:bCs/>
      <w:i/>
      <w:sz w:val="24"/>
    </w:rPr>
  </w:style>
  <w:style w:type="paragraph" w:styleId="9">
    <w:name w:val="heading 8"/>
    <w:basedOn w:val="1"/>
    <w:next w:val="1"/>
    <w:link w:val="43"/>
    <w:unhideWhenUsed/>
    <w:qFormat/>
    <w:uiPriority w:val="9"/>
    <w:pPr>
      <w:keepNext/>
      <w:keepLines/>
      <w:widowControl/>
      <w:numPr>
        <w:ilvl w:val="7"/>
        <w:numId w:val="1"/>
      </w:numPr>
      <w:spacing w:before="240" w:after="64" w:line="320" w:lineRule="auto"/>
      <w:jc w:val="left"/>
      <w:outlineLvl w:val="7"/>
    </w:pPr>
    <w:rPr>
      <w:rFonts w:ascii="Cambria" w:hAnsi="Cambria"/>
      <w:i/>
      <w:sz w:val="24"/>
    </w:rPr>
  </w:style>
  <w:style w:type="paragraph" w:styleId="10">
    <w:name w:val="heading 9"/>
    <w:basedOn w:val="1"/>
    <w:next w:val="1"/>
    <w:link w:val="44"/>
    <w:unhideWhenUsed/>
    <w:qFormat/>
    <w:uiPriority w:val="9"/>
    <w:pPr>
      <w:keepNext/>
      <w:keepLines/>
      <w:widowControl/>
      <w:numPr>
        <w:ilvl w:val="8"/>
        <w:numId w:val="1"/>
      </w:numPr>
      <w:spacing w:before="240" w:after="64" w:line="320" w:lineRule="auto"/>
      <w:jc w:val="left"/>
      <w:outlineLvl w:val="8"/>
    </w:pPr>
    <w:rPr>
      <w:rFonts w:ascii="Cambria" w:hAnsi="Cambria"/>
      <w:i/>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260"/>
      <w:jc w:val="left"/>
    </w:pPr>
    <w:rPr>
      <w:rFonts w:asciiTheme="minorHAnsi" w:hAnsiTheme="minorHAnsi"/>
      <w:sz w:val="18"/>
      <w:szCs w:val="18"/>
    </w:rPr>
  </w:style>
  <w:style w:type="paragraph" w:styleId="12">
    <w:name w:val="caption"/>
    <w:basedOn w:val="1"/>
    <w:next w:val="1"/>
    <w:qFormat/>
    <w:uiPriority w:val="0"/>
    <w:pPr>
      <w:spacing w:before="152" w:after="160"/>
    </w:pPr>
    <w:rPr>
      <w:rFonts w:ascii="Arial" w:hAnsi="Arial" w:eastAsia="黑体" w:cs="Arial"/>
      <w:sz w:val="20"/>
      <w:szCs w:val="20"/>
    </w:rPr>
  </w:style>
  <w:style w:type="paragraph" w:styleId="13">
    <w:name w:val="annotation text"/>
    <w:basedOn w:val="1"/>
    <w:link w:val="56"/>
    <w:unhideWhenUsed/>
    <w:qFormat/>
    <w:uiPriority w:val="99"/>
    <w:pPr>
      <w:jc w:val="left"/>
    </w:pPr>
  </w:style>
  <w:style w:type="paragraph" w:styleId="14">
    <w:name w:val="Body Text"/>
    <w:basedOn w:val="1"/>
    <w:link w:val="76"/>
    <w:qFormat/>
    <w:uiPriority w:val="0"/>
    <w:pPr>
      <w:suppressAutoHyphens/>
      <w:spacing w:after="120" w:line="360" w:lineRule="auto"/>
      <w:ind w:firstLine="200" w:firstLineChars="200"/>
    </w:pPr>
    <w:rPr>
      <w:kern w:val="1"/>
      <w:sz w:val="28"/>
      <w:lang w:eastAsia="ar-SA"/>
    </w:rPr>
  </w:style>
  <w:style w:type="paragraph" w:styleId="15">
    <w:name w:val="toc 5"/>
    <w:basedOn w:val="1"/>
    <w:next w:val="1"/>
    <w:unhideWhenUsed/>
    <w:qFormat/>
    <w:uiPriority w:val="39"/>
    <w:pPr>
      <w:ind w:left="840"/>
      <w:jc w:val="left"/>
    </w:pPr>
    <w:rPr>
      <w:rFonts w:asciiTheme="minorHAnsi" w:hAnsiTheme="minorHAnsi"/>
      <w:sz w:val="18"/>
      <w:szCs w:val="18"/>
    </w:rPr>
  </w:style>
  <w:style w:type="paragraph" w:styleId="16">
    <w:name w:val="toc 3"/>
    <w:basedOn w:val="1"/>
    <w:next w:val="1"/>
    <w:unhideWhenUsed/>
    <w:qFormat/>
    <w:uiPriority w:val="39"/>
    <w:pPr>
      <w:ind w:left="420"/>
      <w:jc w:val="left"/>
    </w:pPr>
    <w:rPr>
      <w:rFonts w:asciiTheme="minorHAnsi" w:hAnsiTheme="minorHAnsi"/>
      <w:i/>
      <w:iCs/>
      <w:sz w:val="20"/>
      <w:szCs w:val="20"/>
    </w:rPr>
  </w:style>
  <w:style w:type="paragraph" w:styleId="17">
    <w:name w:val="toc 8"/>
    <w:basedOn w:val="1"/>
    <w:next w:val="1"/>
    <w:unhideWhenUsed/>
    <w:qFormat/>
    <w:uiPriority w:val="39"/>
    <w:pPr>
      <w:ind w:left="1470"/>
      <w:jc w:val="left"/>
    </w:pPr>
    <w:rPr>
      <w:rFonts w:asciiTheme="minorHAnsi" w:hAnsiTheme="minorHAnsi"/>
      <w:sz w:val="18"/>
      <w:szCs w:val="18"/>
    </w:rPr>
  </w:style>
  <w:style w:type="paragraph" w:styleId="18">
    <w:name w:val="Date"/>
    <w:basedOn w:val="1"/>
    <w:next w:val="1"/>
    <w:link w:val="75"/>
    <w:semiHidden/>
    <w:unhideWhenUsed/>
    <w:qFormat/>
    <w:uiPriority w:val="99"/>
    <w:pPr>
      <w:ind w:left="100" w:leftChars="2500"/>
    </w:pPr>
  </w:style>
  <w:style w:type="paragraph" w:styleId="19">
    <w:name w:val="Balloon Text"/>
    <w:basedOn w:val="1"/>
    <w:link w:val="58"/>
    <w:semiHidden/>
    <w:unhideWhenUsed/>
    <w:qFormat/>
    <w:uiPriority w:val="99"/>
    <w:rPr>
      <w:sz w:val="18"/>
      <w:szCs w:val="18"/>
    </w:rPr>
  </w:style>
  <w:style w:type="paragraph" w:styleId="20">
    <w:name w:val="footer"/>
    <w:basedOn w:val="1"/>
    <w:link w:val="62"/>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21">
    <w:name w:val="header"/>
    <w:basedOn w:val="1"/>
    <w:link w:val="59"/>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22">
    <w:name w:val="toc 1"/>
    <w:basedOn w:val="1"/>
    <w:next w:val="1"/>
    <w:unhideWhenUsed/>
    <w:qFormat/>
    <w:uiPriority w:val="39"/>
    <w:pPr>
      <w:spacing w:before="120" w:after="120"/>
      <w:jc w:val="left"/>
    </w:pPr>
    <w:rPr>
      <w:rFonts w:asciiTheme="minorHAnsi" w:hAnsiTheme="minorHAnsi"/>
      <w:b/>
      <w:bCs/>
      <w:caps/>
      <w:sz w:val="20"/>
      <w:szCs w:val="20"/>
    </w:rPr>
  </w:style>
  <w:style w:type="paragraph" w:styleId="23">
    <w:name w:val="toc 4"/>
    <w:basedOn w:val="1"/>
    <w:next w:val="1"/>
    <w:unhideWhenUsed/>
    <w:qFormat/>
    <w:uiPriority w:val="39"/>
    <w:pPr>
      <w:ind w:left="630"/>
      <w:jc w:val="left"/>
    </w:pPr>
    <w:rPr>
      <w:rFonts w:asciiTheme="minorHAnsi" w:hAnsiTheme="minorHAnsi"/>
      <w:sz w:val="18"/>
      <w:szCs w:val="18"/>
    </w:rPr>
  </w:style>
  <w:style w:type="paragraph" w:styleId="24">
    <w:name w:val="footnote text"/>
    <w:basedOn w:val="1"/>
    <w:link w:val="74"/>
    <w:semiHidden/>
    <w:unhideWhenUsed/>
    <w:qFormat/>
    <w:uiPriority w:val="99"/>
    <w:rPr>
      <w:sz w:val="20"/>
      <w:szCs w:val="20"/>
    </w:rPr>
  </w:style>
  <w:style w:type="paragraph" w:styleId="25">
    <w:name w:val="toc 6"/>
    <w:basedOn w:val="1"/>
    <w:next w:val="1"/>
    <w:unhideWhenUsed/>
    <w:qFormat/>
    <w:uiPriority w:val="39"/>
    <w:pPr>
      <w:ind w:left="1050"/>
      <w:jc w:val="left"/>
    </w:pPr>
    <w:rPr>
      <w:rFonts w:asciiTheme="minorHAnsi" w:hAnsiTheme="minorHAnsi"/>
      <w:sz w:val="18"/>
      <w:szCs w:val="18"/>
    </w:rPr>
  </w:style>
  <w:style w:type="paragraph" w:styleId="26">
    <w:name w:val="toc 2"/>
    <w:basedOn w:val="1"/>
    <w:next w:val="1"/>
    <w:unhideWhenUsed/>
    <w:qFormat/>
    <w:uiPriority w:val="39"/>
    <w:pPr>
      <w:tabs>
        <w:tab w:val="right" w:leader="dot" w:pos="8296"/>
      </w:tabs>
      <w:ind w:left="210"/>
      <w:jc w:val="center"/>
    </w:pPr>
    <w:rPr>
      <w:rFonts w:asciiTheme="minorHAnsi" w:hAnsiTheme="minorHAnsi"/>
      <w:smallCaps/>
      <w:sz w:val="20"/>
      <w:szCs w:val="20"/>
    </w:rPr>
  </w:style>
  <w:style w:type="paragraph" w:styleId="27">
    <w:name w:val="toc 9"/>
    <w:basedOn w:val="1"/>
    <w:next w:val="1"/>
    <w:unhideWhenUsed/>
    <w:qFormat/>
    <w:uiPriority w:val="39"/>
    <w:pPr>
      <w:ind w:left="1680"/>
      <w:jc w:val="left"/>
    </w:pPr>
    <w:rPr>
      <w:rFonts w:asciiTheme="minorHAnsi" w:hAnsiTheme="minorHAnsi"/>
      <w:sz w:val="18"/>
      <w:szCs w:val="18"/>
    </w:rPr>
  </w:style>
  <w:style w:type="paragraph" w:styleId="28">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29">
    <w:name w:val="annotation subject"/>
    <w:basedOn w:val="13"/>
    <w:next w:val="13"/>
    <w:link w:val="57"/>
    <w:semiHidden/>
    <w:unhideWhenUsed/>
    <w:qFormat/>
    <w:uiPriority w:val="99"/>
    <w:rPr>
      <w:b/>
      <w:bCs/>
    </w:rPr>
  </w:style>
  <w:style w:type="table" w:styleId="31">
    <w:name w:val="Table Grid"/>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Hyperlink"/>
    <w:basedOn w:val="32"/>
    <w:unhideWhenUsed/>
    <w:qFormat/>
    <w:uiPriority w:val="99"/>
    <w:rPr>
      <w:color w:val="0563C1" w:themeColor="hyperlink"/>
      <w:u w:val="single"/>
    </w:rPr>
  </w:style>
  <w:style w:type="character" w:styleId="34">
    <w:name w:val="annotation reference"/>
    <w:basedOn w:val="32"/>
    <w:unhideWhenUsed/>
    <w:qFormat/>
    <w:uiPriority w:val="99"/>
    <w:rPr>
      <w:sz w:val="21"/>
      <w:szCs w:val="21"/>
    </w:rPr>
  </w:style>
  <w:style w:type="character" w:styleId="35">
    <w:name w:val="footnote reference"/>
    <w:basedOn w:val="32"/>
    <w:semiHidden/>
    <w:unhideWhenUsed/>
    <w:qFormat/>
    <w:uiPriority w:val="99"/>
    <w:rPr>
      <w:vertAlign w:val="superscript"/>
    </w:rPr>
  </w:style>
  <w:style w:type="character" w:customStyle="1" w:styleId="36">
    <w:name w:val="标题 1 Char"/>
    <w:basedOn w:val="32"/>
    <w:link w:val="2"/>
    <w:qFormat/>
    <w:uiPriority w:val="9"/>
    <w:rPr>
      <w:rFonts w:ascii="Times New Roman" w:hAnsi="Times New Roman" w:eastAsia="宋体" w:cs="Times New Roman"/>
      <w:b/>
      <w:bCs/>
      <w:kern w:val="44"/>
      <w:sz w:val="44"/>
      <w:szCs w:val="44"/>
    </w:rPr>
  </w:style>
  <w:style w:type="character" w:customStyle="1" w:styleId="37">
    <w:name w:val="标题 2 Char"/>
    <w:basedOn w:val="32"/>
    <w:link w:val="3"/>
    <w:qFormat/>
    <w:uiPriority w:val="0"/>
    <w:rPr>
      <w:rFonts w:ascii="Times New Roman" w:hAnsi="Times New Roman" w:eastAsia="黑体" w:cs="Times New Roman"/>
      <w:b/>
      <w:bCs/>
      <w:i/>
      <w:kern w:val="0"/>
      <w:sz w:val="32"/>
      <w:szCs w:val="32"/>
    </w:rPr>
  </w:style>
  <w:style w:type="character" w:customStyle="1" w:styleId="38">
    <w:name w:val="标题 3 Char"/>
    <w:basedOn w:val="32"/>
    <w:link w:val="4"/>
    <w:qFormat/>
    <w:uiPriority w:val="0"/>
    <w:rPr>
      <w:rFonts w:ascii="宋体" w:hAnsi="宋体" w:eastAsia="宋体" w:cs="Times New Roman"/>
      <w:b/>
      <w:bCs/>
      <w:color w:val="000000" w:themeColor="text1"/>
      <w:sz w:val="24"/>
      <w:szCs w:val="24"/>
    </w:rPr>
  </w:style>
  <w:style w:type="character" w:customStyle="1" w:styleId="39">
    <w:name w:val="标题 4 Char"/>
    <w:basedOn w:val="32"/>
    <w:link w:val="5"/>
    <w:qFormat/>
    <w:uiPriority w:val="9"/>
    <w:rPr>
      <w:rFonts w:ascii="Cambria" w:hAnsi="Cambria" w:eastAsia="宋体" w:cs="Times New Roman"/>
      <w:b/>
      <w:bCs/>
      <w:i/>
      <w:sz w:val="28"/>
      <w:szCs w:val="28"/>
    </w:rPr>
  </w:style>
  <w:style w:type="character" w:customStyle="1" w:styleId="40">
    <w:name w:val="标题 5 Char"/>
    <w:basedOn w:val="32"/>
    <w:link w:val="6"/>
    <w:qFormat/>
    <w:uiPriority w:val="9"/>
    <w:rPr>
      <w:rFonts w:ascii="Times New Roman" w:hAnsi="Times New Roman" w:eastAsia="宋体" w:cs="Times New Roman"/>
      <w:b/>
      <w:bCs/>
      <w:i/>
      <w:sz w:val="28"/>
      <w:szCs w:val="28"/>
    </w:rPr>
  </w:style>
  <w:style w:type="character" w:customStyle="1" w:styleId="41">
    <w:name w:val="标题 6 Char"/>
    <w:basedOn w:val="32"/>
    <w:link w:val="7"/>
    <w:qFormat/>
    <w:uiPriority w:val="9"/>
    <w:rPr>
      <w:rFonts w:ascii="Cambria" w:hAnsi="Cambria" w:eastAsia="宋体" w:cs="Times New Roman"/>
      <w:b/>
      <w:bCs/>
      <w:i/>
      <w:sz w:val="24"/>
      <w:szCs w:val="24"/>
    </w:rPr>
  </w:style>
  <w:style w:type="character" w:customStyle="1" w:styleId="42">
    <w:name w:val="标题 7 Char"/>
    <w:basedOn w:val="32"/>
    <w:link w:val="8"/>
    <w:qFormat/>
    <w:uiPriority w:val="9"/>
    <w:rPr>
      <w:rFonts w:ascii="Times New Roman" w:hAnsi="Times New Roman" w:eastAsia="宋体" w:cs="Times New Roman"/>
      <w:b/>
      <w:bCs/>
      <w:i/>
      <w:sz w:val="24"/>
      <w:szCs w:val="24"/>
    </w:rPr>
  </w:style>
  <w:style w:type="character" w:customStyle="1" w:styleId="43">
    <w:name w:val="标题 8 Char"/>
    <w:basedOn w:val="32"/>
    <w:link w:val="9"/>
    <w:qFormat/>
    <w:uiPriority w:val="9"/>
    <w:rPr>
      <w:rFonts w:ascii="Cambria" w:hAnsi="Cambria" w:eastAsia="宋体" w:cs="Times New Roman"/>
      <w:i/>
      <w:sz w:val="24"/>
      <w:szCs w:val="24"/>
    </w:rPr>
  </w:style>
  <w:style w:type="character" w:customStyle="1" w:styleId="44">
    <w:name w:val="标题 9 Char"/>
    <w:basedOn w:val="32"/>
    <w:link w:val="10"/>
    <w:qFormat/>
    <w:uiPriority w:val="9"/>
    <w:rPr>
      <w:rFonts w:ascii="Cambria" w:hAnsi="Cambria" w:eastAsia="宋体" w:cs="Times New Roman"/>
      <w:i/>
      <w:szCs w:val="21"/>
    </w:rPr>
  </w:style>
  <w:style w:type="paragraph" w:customStyle="1" w:styleId="45">
    <w:name w:val="段"/>
    <w:link w:val="46"/>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46">
    <w:name w:val="段 Char"/>
    <w:link w:val="45"/>
    <w:qFormat/>
    <w:uiPriority w:val="0"/>
    <w:rPr>
      <w:rFonts w:ascii="宋体" w:hAnsi="Times New Roman" w:eastAsia="宋体" w:cs="Times New Roman"/>
      <w:kern w:val="0"/>
      <w:szCs w:val="20"/>
    </w:rPr>
  </w:style>
  <w:style w:type="paragraph" w:customStyle="1" w:styleId="47">
    <w:name w:val="附录标识"/>
    <w:basedOn w:val="1"/>
    <w:next w:val="45"/>
    <w:qFormat/>
    <w:uiPriority w:val="0"/>
    <w:pPr>
      <w:keepNext/>
      <w:widowControl/>
      <w:numPr>
        <w:ilvl w:val="0"/>
        <w:numId w:val="2"/>
      </w:numPr>
      <w:shd w:val="clear" w:color="FFFFFF" w:fill="FFFFFF"/>
      <w:tabs>
        <w:tab w:val="left" w:pos="6405"/>
      </w:tabs>
      <w:spacing w:before="640" w:after="280"/>
      <w:jc w:val="center"/>
      <w:outlineLvl w:val="0"/>
    </w:pPr>
    <w:rPr>
      <w:rFonts w:ascii="黑体" w:eastAsia="黑体"/>
      <w:kern w:val="0"/>
      <w:szCs w:val="20"/>
    </w:rPr>
  </w:style>
  <w:style w:type="paragraph" w:customStyle="1" w:styleId="48">
    <w:name w:val="附录二级条标题"/>
    <w:basedOn w:val="1"/>
    <w:next w:val="45"/>
    <w:qFormat/>
    <w:uiPriority w:val="0"/>
    <w:pPr>
      <w:widowControl/>
      <w:numPr>
        <w:ilvl w:val="3"/>
        <w:numId w:val="2"/>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49">
    <w:name w:val="附录三级条标题"/>
    <w:basedOn w:val="48"/>
    <w:next w:val="45"/>
    <w:qFormat/>
    <w:uiPriority w:val="0"/>
    <w:pPr>
      <w:numPr>
        <w:ilvl w:val="4"/>
      </w:numPr>
      <w:outlineLvl w:val="4"/>
    </w:pPr>
  </w:style>
  <w:style w:type="paragraph" w:customStyle="1" w:styleId="50">
    <w:name w:val="附录四级条标题"/>
    <w:basedOn w:val="49"/>
    <w:next w:val="45"/>
    <w:qFormat/>
    <w:uiPriority w:val="0"/>
    <w:pPr>
      <w:numPr>
        <w:ilvl w:val="5"/>
      </w:numPr>
      <w:outlineLvl w:val="5"/>
    </w:pPr>
  </w:style>
  <w:style w:type="paragraph" w:customStyle="1" w:styleId="51">
    <w:name w:val="附录五级条标题"/>
    <w:basedOn w:val="50"/>
    <w:next w:val="45"/>
    <w:qFormat/>
    <w:uiPriority w:val="0"/>
    <w:pPr>
      <w:numPr>
        <w:ilvl w:val="6"/>
      </w:numPr>
      <w:outlineLvl w:val="6"/>
    </w:pPr>
  </w:style>
  <w:style w:type="paragraph" w:customStyle="1" w:styleId="52">
    <w:name w:val="附录章标题"/>
    <w:next w:val="45"/>
    <w:qFormat/>
    <w:uiPriority w:val="0"/>
    <w:pPr>
      <w:numPr>
        <w:ilvl w:val="1"/>
        <w:numId w:val="2"/>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53">
    <w:name w:val="附录一级条标题"/>
    <w:basedOn w:val="52"/>
    <w:next w:val="45"/>
    <w:qFormat/>
    <w:uiPriority w:val="0"/>
    <w:pPr>
      <w:numPr>
        <w:ilvl w:val="2"/>
      </w:numPr>
      <w:autoSpaceDN w:val="0"/>
      <w:spacing w:beforeLines="50" w:afterLines="50"/>
      <w:outlineLvl w:val="2"/>
    </w:pPr>
  </w:style>
  <w:style w:type="paragraph" w:styleId="54">
    <w:name w:val="List Paragraph"/>
    <w:basedOn w:val="1"/>
    <w:link w:val="55"/>
    <w:qFormat/>
    <w:uiPriority w:val="34"/>
    <w:pPr>
      <w:ind w:firstLine="420" w:firstLineChars="200"/>
    </w:pPr>
  </w:style>
  <w:style w:type="character" w:customStyle="1" w:styleId="55">
    <w:name w:val="列出段落 Char"/>
    <w:basedOn w:val="32"/>
    <w:link w:val="54"/>
    <w:qFormat/>
    <w:uiPriority w:val="34"/>
    <w:rPr>
      <w:rFonts w:ascii="Times New Roman" w:hAnsi="Times New Roman" w:eastAsia="宋体" w:cs="Times New Roman"/>
      <w:szCs w:val="24"/>
    </w:rPr>
  </w:style>
  <w:style w:type="character" w:customStyle="1" w:styleId="56">
    <w:name w:val="批注文字 Char"/>
    <w:basedOn w:val="32"/>
    <w:link w:val="13"/>
    <w:qFormat/>
    <w:uiPriority w:val="99"/>
    <w:rPr>
      <w:rFonts w:ascii="Times New Roman" w:hAnsi="Times New Roman" w:eastAsia="宋体" w:cs="Times New Roman"/>
      <w:szCs w:val="24"/>
    </w:rPr>
  </w:style>
  <w:style w:type="character" w:customStyle="1" w:styleId="57">
    <w:name w:val="批注主题 Char"/>
    <w:basedOn w:val="56"/>
    <w:link w:val="29"/>
    <w:semiHidden/>
    <w:qFormat/>
    <w:uiPriority w:val="99"/>
    <w:rPr>
      <w:rFonts w:ascii="Times New Roman" w:hAnsi="Times New Roman" w:eastAsia="宋体" w:cs="Times New Roman"/>
      <w:b/>
      <w:bCs/>
      <w:szCs w:val="24"/>
    </w:rPr>
  </w:style>
  <w:style w:type="character" w:customStyle="1" w:styleId="58">
    <w:name w:val="批注框文本 Char"/>
    <w:basedOn w:val="32"/>
    <w:link w:val="19"/>
    <w:semiHidden/>
    <w:qFormat/>
    <w:uiPriority w:val="99"/>
    <w:rPr>
      <w:rFonts w:ascii="Times New Roman" w:hAnsi="Times New Roman" w:eastAsia="宋体" w:cs="Times New Roman"/>
      <w:sz w:val="18"/>
      <w:szCs w:val="18"/>
    </w:rPr>
  </w:style>
  <w:style w:type="character" w:customStyle="1" w:styleId="59">
    <w:name w:val="页眉 Char"/>
    <w:basedOn w:val="32"/>
    <w:link w:val="21"/>
    <w:qFormat/>
    <w:uiPriority w:val="99"/>
    <w:rPr>
      <w:sz w:val="18"/>
      <w:szCs w:val="18"/>
    </w:rPr>
  </w:style>
  <w:style w:type="paragraph" w:customStyle="1" w:styleId="60">
    <w:name w:val="wk标题2"/>
    <w:basedOn w:val="1"/>
    <w:link w:val="61"/>
    <w:qFormat/>
    <w:uiPriority w:val="0"/>
    <w:pPr>
      <w:outlineLvl w:val="1"/>
    </w:pPr>
    <w:rPr>
      <w:rFonts w:eastAsia="黑体"/>
      <w:b/>
      <w:sz w:val="28"/>
      <w:szCs w:val="28"/>
    </w:rPr>
  </w:style>
  <w:style w:type="character" w:customStyle="1" w:styleId="61">
    <w:name w:val="wk标题2 Char"/>
    <w:basedOn w:val="32"/>
    <w:link w:val="60"/>
    <w:qFormat/>
    <w:uiPriority w:val="0"/>
    <w:rPr>
      <w:rFonts w:ascii="Times New Roman" w:hAnsi="Times New Roman" w:eastAsia="黑体" w:cs="Times New Roman"/>
      <w:b/>
      <w:sz w:val="28"/>
      <w:szCs w:val="28"/>
    </w:rPr>
  </w:style>
  <w:style w:type="character" w:customStyle="1" w:styleId="62">
    <w:name w:val="页脚 Char"/>
    <w:basedOn w:val="32"/>
    <w:link w:val="20"/>
    <w:qFormat/>
    <w:uiPriority w:val="99"/>
    <w:rPr>
      <w:sz w:val="18"/>
      <w:szCs w:val="18"/>
    </w:rPr>
  </w:style>
  <w:style w:type="paragraph" w:customStyle="1" w:styleId="63">
    <w:name w:val="wk标题1"/>
    <w:basedOn w:val="1"/>
    <w:link w:val="64"/>
    <w:qFormat/>
    <w:uiPriority w:val="0"/>
    <w:pPr>
      <w:spacing w:before="120" w:after="120"/>
      <w:outlineLvl w:val="0"/>
    </w:pPr>
    <w:rPr>
      <w:rFonts w:eastAsia="黑体"/>
      <w:b/>
      <w:sz w:val="30"/>
      <w:szCs w:val="30"/>
    </w:rPr>
  </w:style>
  <w:style w:type="character" w:customStyle="1" w:styleId="64">
    <w:name w:val="wk标题1 Char"/>
    <w:basedOn w:val="32"/>
    <w:link w:val="63"/>
    <w:qFormat/>
    <w:uiPriority w:val="0"/>
    <w:rPr>
      <w:rFonts w:ascii="Times New Roman" w:hAnsi="Times New Roman" w:eastAsia="黑体" w:cs="Times New Roman"/>
      <w:b/>
      <w:sz w:val="30"/>
      <w:szCs w:val="30"/>
    </w:rPr>
  </w:style>
  <w:style w:type="paragraph" w:customStyle="1" w:styleId="65">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 w:val="32"/>
      <w:szCs w:val="32"/>
    </w:rPr>
  </w:style>
  <w:style w:type="paragraph" w:customStyle="1" w:styleId="66">
    <w:name w:val="列出段落1"/>
    <w:basedOn w:val="1"/>
    <w:link w:val="67"/>
    <w:qFormat/>
    <w:uiPriority w:val="34"/>
    <w:pPr>
      <w:widowControl/>
      <w:ind w:firstLine="420" w:firstLineChars="200"/>
      <w:jc w:val="left"/>
    </w:pPr>
    <w:rPr>
      <w:i/>
      <w:szCs w:val="20"/>
    </w:rPr>
  </w:style>
  <w:style w:type="character" w:customStyle="1" w:styleId="67">
    <w:name w:val="列出段落1 Char"/>
    <w:basedOn w:val="32"/>
    <w:link w:val="66"/>
    <w:qFormat/>
    <w:uiPriority w:val="34"/>
    <w:rPr>
      <w:rFonts w:ascii="Times New Roman" w:hAnsi="Times New Roman" w:eastAsia="宋体" w:cs="Times New Roman"/>
      <w:i/>
      <w:szCs w:val="20"/>
    </w:rPr>
  </w:style>
  <w:style w:type="table" w:customStyle="1" w:styleId="68">
    <w:name w:val="网格型1"/>
    <w:basedOn w:val="30"/>
    <w:qFormat/>
    <w:uiPriority w:val="39"/>
    <w:rPr>
      <w:rFonts w:ascii="Calibri" w:hAnsi="Calibri" w:eastAsia="宋体" w:cs="Times New Roman"/>
      <w: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9">
    <w:name w:val="投标1"/>
    <w:basedOn w:val="1"/>
    <w:qFormat/>
    <w:uiPriority w:val="0"/>
    <w:pPr>
      <w:keepNext/>
      <w:keepLines/>
      <w:widowControl/>
      <w:numPr>
        <w:ilvl w:val="0"/>
        <w:numId w:val="1"/>
      </w:numPr>
      <w:spacing w:line="360" w:lineRule="auto"/>
      <w:jc w:val="left"/>
      <w:outlineLvl w:val="0"/>
    </w:pPr>
    <w:rPr>
      <w:rFonts w:eastAsia="黑体"/>
      <w:b/>
      <w:bCs/>
      <w:color w:val="000000" w:themeColor="text1"/>
      <w:kern w:val="36"/>
      <w:sz w:val="30"/>
      <w:szCs w:val="30"/>
    </w:rPr>
  </w:style>
  <w:style w:type="paragraph" w:customStyle="1" w:styleId="70">
    <w:name w:val="投标--5"/>
    <w:basedOn w:val="7"/>
    <w:link w:val="71"/>
    <w:qFormat/>
    <w:uiPriority w:val="0"/>
    <w:pPr>
      <w:spacing w:before="0" w:after="0"/>
      <w:ind w:right="210" w:rightChars="100"/>
    </w:pPr>
    <w:rPr>
      <w:rFonts w:asciiTheme="minorEastAsia" w:hAnsiTheme="minorEastAsia"/>
      <w:bCs w:val="0"/>
      <w:i w:val="0"/>
    </w:rPr>
  </w:style>
  <w:style w:type="character" w:customStyle="1" w:styleId="71">
    <w:name w:val="投标--5 Char"/>
    <w:basedOn w:val="41"/>
    <w:link w:val="70"/>
    <w:qFormat/>
    <w:uiPriority w:val="0"/>
    <w:rPr>
      <w:rFonts w:eastAsia="宋体" w:cs="Times New Roman" w:asciiTheme="minorEastAsia" w:hAnsiTheme="minorEastAsia"/>
      <w:bCs w:val="0"/>
      <w:i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7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74">
    <w:name w:val="脚注文本 Char"/>
    <w:basedOn w:val="32"/>
    <w:link w:val="24"/>
    <w:semiHidden/>
    <w:qFormat/>
    <w:uiPriority w:val="99"/>
    <w:rPr>
      <w:rFonts w:ascii="Times New Roman" w:hAnsi="Times New Roman" w:eastAsia="宋体" w:cs="Times New Roman"/>
      <w:sz w:val="20"/>
      <w:szCs w:val="20"/>
    </w:rPr>
  </w:style>
  <w:style w:type="character" w:customStyle="1" w:styleId="75">
    <w:name w:val="日期 Char"/>
    <w:basedOn w:val="32"/>
    <w:link w:val="18"/>
    <w:semiHidden/>
    <w:qFormat/>
    <w:uiPriority w:val="99"/>
    <w:rPr>
      <w:rFonts w:ascii="Times New Roman" w:hAnsi="Times New Roman" w:eastAsia="宋体" w:cs="Times New Roman"/>
      <w:szCs w:val="24"/>
    </w:rPr>
  </w:style>
  <w:style w:type="character" w:customStyle="1" w:styleId="76">
    <w:name w:val="正文文本 Char"/>
    <w:basedOn w:val="32"/>
    <w:link w:val="14"/>
    <w:qFormat/>
    <w:uiPriority w:val="0"/>
    <w:rPr>
      <w:rFonts w:ascii="Times New Roman" w:hAnsi="Times New Roman" w:eastAsia="宋体" w:cs="Times New Roman"/>
      <w:kern w:val="1"/>
      <w:sz w:val="28"/>
      <w:szCs w:val="24"/>
      <w:lang w:eastAsia="ar-SA"/>
    </w:rPr>
  </w:style>
  <w:style w:type="character" w:styleId="77">
    <w:name w:val="Placeholder Text"/>
    <w:basedOn w:val="32"/>
    <w:semiHidden/>
    <w:qFormat/>
    <w:uiPriority w:val="99"/>
    <w:rPr>
      <w:color w:val="808080"/>
    </w:rPr>
  </w:style>
  <w:style w:type="character" w:customStyle="1" w:styleId="78">
    <w:name w:val="apple-converted-space"/>
    <w:basedOn w:val="32"/>
    <w:qFormat/>
    <w:uiPriority w:val="0"/>
  </w:style>
  <w:style w:type="table" w:customStyle="1" w:styleId="79">
    <w:name w:val="网格型2"/>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0">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 w:val="32"/>
      <w:szCs w:val="32"/>
    </w:rPr>
  </w:style>
  <w:style w:type="character" w:customStyle="1" w:styleId="81">
    <w:name w:val="font71"/>
    <w:basedOn w:val="32"/>
    <w:qFormat/>
    <w:uiPriority w:val="0"/>
    <w:rPr>
      <w:rFonts w:hint="eastAsia" w:ascii="宋体" w:hAnsi="宋体" w:eastAsia="宋体" w:cs="宋体"/>
      <w:color w:val="000000"/>
      <w:sz w:val="24"/>
      <w:szCs w:val="24"/>
      <w:u w:val="none"/>
      <w:vertAlign w:val="subscript"/>
    </w:rPr>
  </w:style>
  <w:style w:type="character" w:customStyle="1" w:styleId="82">
    <w:name w:val="font41"/>
    <w:basedOn w:val="32"/>
    <w:qFormat/>
    <w:uiPriority w:val="0"/>
    <w:rPr>
      <w:rFonts w:hint="eastAsia" w:ascii="宋体" w:hAnsi="宋体" w:eastAsia="宋体" w:cs="宋体"/>
      <w:color w:val="000000"/>
      <w:sz w:val="24"/>
      <w:szCs w:val="24"/>
      <w:u w:val="none"/>
    </w:rPr>
  </w:style>
  <w:style w:type="character" w:customStyle="1" w:styleId="83">
    <w:name w:val="font21"/>
    <w:basedOn w:val="32"/>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931549-92E6-49F8-BCFE-D12F0E50F4E2}">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16</Pages>
  <Words>1330</Words>
  <Characters>7583</Characters>
  <Lines>63</Lines>
  <Paragraphs>17</Paragraphs>
  <TotalTime>57</TotalTime>
  <ScaleCrop>false</ScaleCrop>
  <LinksUpToDate>false</LinksUpToDate>
  <CharactersWithSpaces>8896</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2018-04-21T01:46:00Z</dcterms:created>
  <dc:creator>Windows 用户</dc:creator>
  <cp:lastModifiedBy>郝国超</cp:lastModifiedBy>
  <cp:lastPrinted>2019-12-29T03:25:00Z</cp:lastPrinted>
  <dcterms:modified xsi:type="dcterms:W3CDTF">2019-12-31T07:30:59Z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